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color w:val="auto"/>
          <w:kern w:val="0"/>
          <w:sz w:val="52"/>
          <w:szCs w:val="52"/>
          <w:highlight w:val="none"/>
        </w:rPr>
      </w:pPr>
      <w:bookmarkStart w:id="4" w:name="_GoBack"/>
      <w:bookmarkEnd w:id="4"/>
    </w:p>
    <w:p>
      <w:pPr>
        <w:spacing w:line="240" w:lineRule="auto"/>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方正小标宋_GBK" w:cs="Times New Roman"/>
          <w:color w:val="auto"/>
          <w:kern w:val="0"/>
          <w:sz w:val="48"/>
          <w:szCs w:val="48"/>
          <w:highlight w:val="none"/>
        </w:rPr>
      </w:pPr>
      <w:r>
        <w:rPr>
          <w:rFonts w:hint="default" w:ascii="Times New Roman" w:hAnsi="Times New Roman" w:eastAsia="方正小标宋_GBK" w:cs="Times New Roman"/>
          <w:color w:val="auto"/>
          <w:kern w:val="0"/>
          <w:sz w:val="48"/>
          <w:szCs w:val="48"/>
          <w:highlight w:val="none"/>
        </w:rPr>
        <w:t>部门专项-社区党建工作经费项目支出绩效评价报告</w:t>
      </w:r>
    </w:p>
    <w:p>
      <w:pPr>
        <w:spacing w:line="540" w:lineRule="exact"/>
        <w:jc w:val="center"/>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（202</w:t>
      </w:r>
      <w:r>
        <w:rPr>
          <w:rFonts w:hint="default" w:ascii="Times New Roman" w:hAnsi="Times New Roman" w:eastAsia="仿宋_GB2312" w:cs="Times New Roman"/>
          <w:color w:val="auto"/>
          <w:kern w:val="0"/>
          <w:sz w:val="36"/>
          <w:szCs w:val="36"/>
          <w:highlight w:val="none"/>
          <w:lang w:val="en-US" w:eastAsia="zh-CN"/>
        </w:rPr>
        <w:t>4</w:t>
      </w:r>
      <w:r>
        <w:rPr>
          <w:rFonts w:hint="default" w:ascii="Times New Roman" w:hAnsi="Times New Roman" w:eastAsia="仿宋_GB2312" w:cs="Times New Roman"/>
          <w:color w:val="auto"/>
          <w:kern w:val="0"/>
          <w:sz w:val="36"/>
          <w:szCs w:val="36"/>
          <w:highlight w:val="none"/>
        </w:rPr>
        <w:t>年度）</w:t>
      </w:r>
    </w:p>
    <w:p>
      <w:pPr>
        <w:spacing w:line="540" w:lineRule="exact"/>
        <w:jc w:val="center"/>
        <w:rPr>
          <w:rFonts w:hint="default" w:ascii="Times New Roman" w:hAnsi="Times New Roman" w:eastAsia="仿宋_GB2312" w:cs="Times New Roman"/>
          <w:color w:val="auto"/>
          <w:kern w:val="0"/>
          <w:sz w:val="30"/>
          <w:szCs w:val="30"/>
          <w:highlight w:val="none"/>
        </w:rPr>
      </w:pPr>
    </w:p>
    <w:p>
      <w:pPr>
        <w:spacing w:line="540" w:lineRule="exact"/>
        <w:jc w:val="center"/>
        <w:rPr>
          <w:rFonts w:hint="default" w:ascii="Times New Roman" w:hAnsi="Times New Roman" w:eastAsia="仿宋_GB2312" w:cs="Times New Roman"/>
          <w:color w:val="auto"/>
          <w:kern w:val="0"/>
          <w:sz w:val="30"/>
          <w:szCs w:val="30"/>
          <w:highlight w:val="none"/>
        </w:rPr>
      </w:pPr>
    </w:p>
    <w:p>
      <w:pPr>
        <w:spacing w:line="540" w:lineRule="exact"/>
        <w:jc w:val="center"/>
        <w:rPr>
          <w:rFonts w:hint="default" w:ascii="Times New Roman" w:hAnsi="Times New Roman" w:eastAsia="仿宋_GB2312" w:cs="Times New Roman"/>
          <w:color w:val="auto"/>
          <w:kern w:val="0"/>
          <w:sz w:val="30"/>
          <w:szCs w:val="30"/>
          <w:highlight w:val="none"/>
        </w:rPr>
      </w:pPr>
    </w:p>
    <w:p>
      <w:pPr>
        <w:pStyle w:val="10"/>
        <w:rPr>
          <w:rFonts w:hint="default" w:ascii="Times New Roman" w:hAnsi="Times New Roman" w:cs="Times New Roman"/>
          <w:color w:val="auto"/>
          <w:highlight w:val="none"/>
        </w:rPr>
      </w:pPr>
    </w:p>
    <w:p>
      <w:pPr>
        <w:spacing w:line="540" w:lineRule="exact"/>
        <w:jc w:val="center"/>
        <w:rPr>
          <w:rFonts w:hint="default" w:ascii="Times New Roman" w:hAnsi="Times New Roman" w:eastAsia="仿宋_GB2312" w:cs="Times New Roman"/>
          <w:color w:val="auto"/>
          <w:kern w:val="0"/>
          <w:sz w:val="30"/>
          <w:szCs w:val="30"/>
          <w:highlight w:val="none"/>
        </w:rPr>
      </w:pPr>
    </w:p>
    <w:p>
      <w:pPr>
        <w:spacing w:line="540" w:lineRule="exact"/>
        <w:rPr>
          <w:rFonts w:hint="default" w:ascii="Times New Roman" w:hAnsi="Times New Roman" w:eastAsia="仿宋_GB2312" w:cs="Times New Roman"/>
          <w:color w:val="auto"/>
          <w:kern w:val="0"/>
          <w:sz w:val="30"/>
          <w:szCs w:val="30"/>
          <w:highlight w:val="none"/>
        </w:rPr>
      </w:pPr>
    </w:p>
    <w:p>
      <w:pP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项目名称：部门专项-社区党建工作经费</w:t>
      </w:r>
    </w:p>
    <w:p>
      <w:pPr>
        <w:keepNext w:val="0"/>
        <w:keepLines w:val="0"/>
        <w:pageBreakBefore w:val="0"/>
        <w:widowControl w:val="0"/>
        <w:kinsoku/>
        <w:wordWrap/>
        <w:overflowPunct/>
        <w:topLinePunct w:val="0"/>
        <w:autoSpaceDE/>
        <w:autoSpaceDN/>
        <w:bidi w:val="0"/>
        <w:adjustRightInd/>
        <w:snapToGrid w:val="0"/>
        <w:spacing w:line="700" w:lineRule="exact"/>
        <w:ind w:left="1436" w:leftChars="684" w:firstLine="0" w:firstLineChars="0"/>
        <w:jc w:val="left"/>
        <w:textAlignment w:val="auto"/>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实施单位（公章）：</w:t>
      </w:r>
      <w:r>
        <w:rPr>
          <w:rFonts w:hint="eastAsia" w:eastAsia="仿宋_GB2312" w:cs="Times New Roman"/>
          <w:color w:val="auto"/>
          <w:kern w:val="0"/>
          <w:sz w:val="36"/>
          <w:szCs w:val="36"/>
          <w:highlight w:val="none"/>
          <w:lang w:val="en-US" w:eastAsia="zh-CN"/>
        </w:rPr>
        <w:t>库尔勒市康都街道办事处</w:t>
      </w:r>
      <w:r>
        <w:rPr>
          <w:rFonts w:hint="default" w:ascii="Times New Roman" w:hAnsi="Times New Roman" w:eastAsia="仿宋_GB2312" w:cs="Times New Roman"/>
          <w:color w:val="auto"/>
          <w:kern w:val="0"/>
          <w:sz w:val="36"/>
          <w:szCs w:val="36"/>
          <w:highlight w:val="none"/>
        </w:rPr>
        <w:t>主管部门（公章）：</w:t>
      </w:r>
      <w:r>
        <w:rPr>
          <w:rFonts w:hint="eastAsia" w:eastAsia="仿宋_GB2312" w:cs="Times New Roman"/>
          <w:color w:val="auto"/>
          <w:kern w:val="0"/>
          <w:sz w:val="36"/>
          <w:szCs w:val="36"/>
          <w:highlight w:val="none"/>
          <w:lang w:val="en-US" w:eastAsia="zh-CN"/>
        </w:rPr>
        <w:t>库尔勒市康都街道办事处</w:t>
      </w:r>
    </w:p>
    <w:p>
      <w:pPr>
        <w:spacing w:line="700" w:lineRule="exact"/>
        <w:ind w:firstLine="1440" w:firstLineChars="400"/>
        <w:jc w:val="left"/>
        <w:rPr>
          <w:rFonts w:hint="eastAsia" w:ascii="Times New Roman" w:hAnsi="Times New Roman" w:eastAsia="仿宋_GB2312" w:cs="Times New Roman"/>
          <w:color w:val="auto"/>
          <w:kern w:val="0"/>
          <w:sz w:val="36"/>
          <w:szCs w:val="36"/>
          <w:highlight w:val="none"/>
          <w:lang w:eastAsia="zh-CN"/>
        </w:rPr>
      </w:pPr>
      <w:r>
        <w:rPr>
          <w:rFonts w:hint="default" w:ascii="Times New Roman" w:hAnsi="Times New Roman" w:eastAsia="仿宋_GB2312" w:cs="Times New Roman"/>
          <w:color w:val="auto"/>
          <w:kern w:val="0"/>
          <w:sz w:val="36"/>
          <w:szCs w:val="36"/>
          <w:highlight w:val="none"/>
        </w:rPr>
        <w:t>项目负责人（签章）：</w:t>
      </w:r>
      <w:r>
        <w:rPr>
          <w:rFonts w:hint="eastAsia" w:eastAsia="仿宋_GB2312" w:cs="Times New Roman"/>
          <w:color w:val="auto"/>
          <w:kern w:val="0"/>
          <w:sz w:val="36"/>
          <w:szCs w:val="36"/>
          <w:highlight w:val="none"/>
          <w:lang w:val="en-US" w:eastAsia="zh-CN"/>
        </w:rPr>
        <w:t>王邓臻</w:t>
      </w:r>
    </w:p>
    <w:p>
      <w:pP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填报时间：</w:t>
      </w:r>
      <w:r>
        <w:rPr>
          <w:rFonts w:hint="eastAsia" w:eastAsia="仿宋_GB2312" w:cs="Times New Roman"/>
          <w:color w:val="auto"/>
          <w:kern w:val="0"/>
          <w:sz w:val="36"/>
          <w:szCs w:val="36"/>
          <w:highlight w:val="none"/>
          <w:lang w:val="en-US" w:eastAsia="zh-CN"/>
        </w:rPr>
        <w:t>2025</w:t>
      </w:r>
      <w:r>
        <w:rPr>
          <w:rFonts w:hint="default" w:ascii="Times New Roman" w:hAnsi="Times New Roman" w:eastAsia="仿宋_GB2312" w:cs="Times New Roman"/>
          <w:color w:val="auto"/>
          <w:kern w:val="0"/>
          <w:sz w:val="36"/>
          <w:szCs w:val="36"/>
          <w:highlight w:val="none"/>
        </w:rPr>
        <w:t>年</w:t>
      </w:r>
      <w:r>
        <w:rPr>
          <w:rFonts w:hint="eastAsia" w:eastAsia="仿宋_GB2312" w:cs="Times New Roman"/>
          <w:color w:val="auto"/>
          <w:kern w:val="0"/>
          <w:sz w:val="36"/>
          <w:szCs w:val="36"/>
          <w:highlight w:val="none"/>
          <w:lang w:val="en-US" w:eastAsia="zh-CN"/>
        </w:rPr>
        <w:t>4</w:t>
      </w:r>
      <w:r>
        <w:rPr>
          <w:rFonts w:hint="default" w:ascii="Times New Roman" w:hAnsi="Times New Roman" w:eastAsia="仿宋_GB2312" w:cs="Times New Roman"/>
          <w:color w:val="auto"/>
          <w:kern w:val="0"/>
          <w:sz w:val="36"/>
          <w:szCs w:val="36"/>
          <w:highlight w:val="none"/>
        </w:rPr>
        <w:t>月</w:t>
      </w:r>
      <w:r>
        <w:rPr>
          <w:rFonts w:hint="eastAsia" w:eastAsia="仿宋_GB2312" w:cs="Times New Roman"/>
          <w:color w:val="auto"/>
          <w:kern w:val="0"/>
          <w:sz w:val="36"/>
          <w:szCs w:val="36"/>
          <w:highlight w:val="none"/>
          <w:lang w:val="en-US" w:eastAsia="zh-CN"/>
        </w:rPr>
        <w:t>25</w:t>
      </w:r>
      <w:r>
        <w:rPr>
          <w:rFonts w:hint="default" w:ascii="Times New Roman" w:hAnsi="Times New Roman" w:eastAsia="仿宋_GB2312" w:cs="Times New Roman"/>
          <w:color w:val="auto"/>
          <w:kern w:val="0"/>
          <w:sz w:val="36"/>
          <w:szCs w:val="36"/>
          <w:highlight w:val="none"/>
        </w:rPr>
        <w:t>日</w:t>
      </w:r>
    </w:p>
    <w:p>
      <w:pPr>
        <w:spacing w:line="540" w:lineRule="exact"/>
        <w:jc w:val="center"/>
        <w:rPr>
          <w:rFonts w:hint="default" w:ascii="Times New Roman" w:hAnsi="Times New Roman" w:eastAsia="仿宋_GB2312" w:cs="Times New Roman"/>
          <w:color w:val="auto"/>
          <w:kern w:val="0"/>
          <w:sz w:val="30"/>
          <w:szCs w:val="30"/>
          <w:highlight w:val="none"/>
        </w:rPr>
      </w:pPr>
    </w:p>
    <w:p>
      <w:pPr>
        <w:spacing w:line="540" w:lineRule="exact"/>
        <w:rPr>
          <w:rStyle w:val="16"/>
          <w:rFonts w:hint="default" w:ascii="Times New Roman" w:hAnsi="Times New Roman" w:eastAsia="黑体" w:cs="Times New Roman"/>
          <w:b w:val="0"/>
          <w:color w:val="auto"/>
          <w:spacing w:val="-4"/>
          <w:sz w:val="32"/>
          <w:szCs w:val="32"/>
          <w:highlight w:val="none"/>
        </w:rPr>
      </w:pPr>
    </w:p>
    <w:p>
      <w:pPr>
        <w:spacing w:line="540" w:lineRule="exact"/>
        <w:ind w:firstLine="640"/>
        <w:rPr>
          <w:rStyle w:val="16"/>
          <w:rFonts w:hint="default" w:ascii="Times New Roman" w:hAnsi="Times New Roman" w:eastAsia="黑体" w:cs="Times New Roman"/>
          <w:b w:val="0"/>
          <w:color w:val="auto"/>
          <w:spacing w:val="-4"/>
          <w:sz w:val="32"/>
          <w:szCs w:val="32"/>
          <w:highlight w:val="none"/>
        </w:rPr>
      </w:pPr>
    </w:p>
    <w:p>
      <w:pPr>
        <w:spacing w:line="540" w:lineRule="exact"/>
        <w:rPr>
          <w:rStyle w:val="16"/>
          <w:rFonts w:hint="default" w:ascii="Times New Roman" w:hAnsi="Times New Roman" w:eastAsia="黑体" w:cs="Times New Roman"/>
          <w:b w:val="0"/>
          <w:color w:val="auto"/>
          <w:spacing w:val="-4"/>
          <w:sz w:val="32"/>
          <w:szCs w:val="32"/>
          <w:highlight w:val="none"/>
        </w:rPr>
      </w:pPr>
    </w:p>
    <w:p>
      <w:pPr>
        <w:spacing w:line="560" w:lineRule="exact"/>
        <w:ind w:firstLine="640" w:firstLineChars="200"/>
        <w:rPr>
          <w:rFonts w:hint="default" w:ascii="Times New Roman" w:hAnsi="Times New Roman" w:eastAsia="黑体" w:cs="Times New Roman"/>
          <w:bCs/>
          <w:color w:val="auto"/>
          <w:sz w:val="32"/>
          <w:szCs w:val="32"/>
          <w:highlight w:val="none"/>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一、基本情况</w:t>
      </w:r>
    </w:p>
    <w:p>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（一）项目概况</w:t>
      </w:r>
    </w:p>
    <w:p>
      <w:pP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项目背景</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1. 政策要求与战略部署：党中央高度重视基层党建工作，提出加强基层服务型党组织建设、推进党建引领基层治理等一系列政策要求。为深入贯彻落实党的二十大精神，推动全面从严治党向基层延伸，需通过专项经费保障社区党建工作有序开展，确保党的方针政策在基层落地生根。</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2. 基层党建现状需求：随着社会发展，社区治理面临新挑战，居民利益诉求日益多元化，社区党员数量增多且结构复杂，传统党建工作模式难以满足新形势需求 。社区党组织在开展党员教育管理、组织活动、服务群众等工作时，面临资金短缺问题，制约党建工作创新与质量提升，因此亟需专项经费支持。</w:t>
      </w:r>
    </w:p>
    <w:p>
      <w:pPr>
        <w:shd w:val="clear"/>
        <w:spacing w:line="600" w:lineRule="exact"/>
        <w:ind w:firstLine="640" w:firstLineChars="200"/>
        <w:outlineLvl w:val="0"/>
        <w:rPr>
          <w:rStyle w:val="16"/>
          <w:rFonts w:hint="default" w:ascii="Times New Roman" w:hAnsi="Times New Roman" w:eastAsia="黑体" w:cs="Times New Roman"/>
          <w:b w:val="0"/>
          <w:bCs/>
          <w:color w:val="auto"/>
          <w:spacing w:val="-4"/>
          <w:sz w:val="32"/>
          <w:szCs w:val="32"/>
          <w:highlight w:val="none"/>
          <w:lang w:eastAsia="zh-CN"/>
        </w:rPr>
      </w:pPr>
      <w:r>
        <w:rPr>
          <w:rFonts w:hint="eastAsia" w:ascii="Times New Roman" w:hAnsi="Times New Roman" w:eastAsia="仿宋_GB2312" w:cs="Times New Roman"/>
          <w:color w:val="auto"/>
          <w:sz w:val="32"/>
          <w:szCs w:val="32"/>
          <w:highlight w:val="none"/>
          <w:lang w:val="en-US" w:eastAsia="zh-CN"/>
        </w:rPr>
        <w:t>3. 党建引领基层治理的需要：社区作为基层治理的基本单元，以党建为引领整合资源、凝聚力量至关重要。设立专项经费，能有效支持社区党组织发挥核心作用，搭建党群沟通桥梁，调动党员和群众参与社区治理的积极性，解决社区治理难题，提升社区治理效能和服务水平。为了服务好小区居民代生活氛围，丰富居民文化，提升小区居民生活环境，部门专项-社区党建工作经费。</w:t>
      </w:r>
    </w:p>
    <w:p>
      <w:pPr>
        <w:pStyle w:val="10"/>
        <w:numPr>
          <w:ilvl w:val="0"/>
          <w:numId w:val="0"/>
        </w:numPr>
        <w:spacing w:before="0" w:after="0" w:line="560" w:lineRule="exact"/>
        <w:ind w:firstLine="643" w:firstLineChars="200"/>
        <w:jc w:val="both"/>
        <w:rPr>
          <w:rFonts w:hint="default" w:ascii="Times New Roman" w:hAnsi="Times New Roman" w:eastAsia="仿宋_GB2312" w:cs="Times New Roman"/>
          <w:color w:val="auto"/>
          <w:kern w:val="2"/>
          <w:highlight w:val="none"/>
        </w:rPr>
      </w:pPr>
      <w:r>
        <w:rPr>
          <w:rFonts w:hint="default" w:ascii="Times New Roman" w:hAnsi="Times New Roman" w:eastAsia="仿宋_GB2312" w:cs="Times New Roman"/>
          <w:color w:val="auto"/>
          <w:kern w:val="2"/>
          <w:highlight w:val="none"/>
          <w:lang w:val="en-US" w:eastAsia="zh-CN"/>
        </w:rPr>
        <w:t>2.</w:t>
      </w:r>
      <w:r>
        <w:rPr>
          <w:rFonts w:hint="default" w:ascii="Times New Roman" w:hAnsi="Times New Roman" w:eastAsia="仿宋_GB2312" w:cs="Times New Roman"/>
          <w:color w:val="auto"/>
          <w:kern w:val="2"/>
          <w:highlight w:val="none"/>
        </w:rPr>
        <w:t>项目主要内容：</w:t>
      </w:r>
    </w:p>
    <w:p>
      <w:pPr>
        <w:shd w:val="clear"/>
        <w:spacing w:line="600" w:lineRule="exact"/>
        <w:ind w:firstLine="600" w:firstLineChars="200"/>
        <w:outlineLvl w:val="0"/>
        <w:rPr>
          <w:rFonts w:hint="default" w:ascii="Times New Roman" w:hAnsi="Times New Roman" w:eastAsia="仿宋_GB2312" w:cs="Times New Roman"/>
          <w:color w:val="auto"/>
          <w:sz w:val="30"/>
          <w:szCs w:val="30"/>
          <w:highlight w:val="none"/>
          <w:lang w:val="en-US" w:eastAsia="zh-CN"/>
        </w:rPr>
      </w:pPr>
      <w:r>
        <w:rPr>
          <w:rFonts w:hint="default" w:ascii="Times New Roman" w:hAnsi="Times New Roman" w:eastAsia="仿宋_GB2312" w:cs="Times New Roman"/>
          <w:color w:val="auto"/>
          <w:sz w:val="30"/>
          <w:szCs w:val="30"/>
          <w:highlight w:val="none"/>
          <w:lang w:val="en-US" w:eastAsia="zh-CN"/>
        </w:rPr>
        <w:t>项目主要内容：</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1. 党员教育管理</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 xml:space="preserve"> 开展教育培训：组织社区党员参加集中学习、专题讲座、线上课程等，内容涵盖党的理论知识、方针政策、时事政治等，提升党员政治素养和理论水平。例如，定期邀请党校专家开展党的二十大精神解读讲座。</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党员学习资料购置：购买党建书籍、党刊杂志、学习光盘等资料，为党员自主学习提供便利，丰富学习资源。</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 xml:space="preserve"> 党员活动组织：开展主题党日、红色教育基地参观、党员志愿服务等活动，增强党员的党性修养和宗旨意识。比如，组织党员前往革命纪念馆参观学习，传承红色基因。</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2. 党组织建设</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党组织活动阵地建设：对社区党员活动室、党群服务中心等进行升级改造，完善设施设备，打造功能齐全、环境良好的党建活动场所，为党组织开展活动和服务群众提供硬件保障。</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党建工作制度完善：制定和完善党组织工作制度、党员管理制度、民主评议党员制度等，规范党组织运行，提高党建工作科学化、规范化水平。</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党务工作者能力提升：组织党务工作者参加业务培训、经验交流活动，提升其业务能力和工作水平，建设高素质党务工作队伍。</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3. 服务群众工作</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困难党员群众帮扶：对社区困难党员、老党员、困难群众进行走访慰问，发放慰问金和物资，帮助解决生活中的实际困难，传递党组织的关怀和温暖。</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便民服务项目开展：开展社区义诊、法律咨询、家政服务等便民活动，满足居民多样化需求，增强居民的获得感和幸福感。</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社区文化活动组织：举办文艺演出、书画展览、体育比赛等文化活动，丰富居民精神文化生活，营造和谐社区氛围，同时通过活动宣传党的政策，凝聚党群力量 。</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4. 党建创新与宣传</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党建品牌创建：结合社区实际，探索创新党建工作模式和载体，打造具有特色的社区党建品牌项目，提升社区党建工作影响力和知名度。</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党建宣传推广：利用社区宣传栏、微信公众号、短视频平台等渠道，宣传社区党建工作成果、先进党员事迹等，扩大党建工作覆盖面和知晓度，营造良好的党建舆论氛围。</w:t>
      </w:r>
    </w:p>
    <w:p>
      <w:pPr>
        <w:spacing w:line="560" w:lineRule="exact"/>
        <w:ind w:firstLine="640" w:firstLineChars="200"/>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项目实施情况：</w:t>
      </w:r>
      <w:r>
        <w:rPr>
          <w:rFonts w:hint="default" w:ascii="Times New Roman" w:hAnsi="Times New Roman" w:eastAsia="仿宋_GB2312" w:cs="Times New Roman"/>
          <w:color w:val="auto"/>
          <w:sz w:val="32"/>
          <w:szCs w:val="32"/>
          <w:highlight w:val="none"/>
          <w:lang w:val="en-US" w:eastAsia="zh-CN"/>
        </w:rPr>
        <w:t>实现社区党委数全覆盖，确保5社区正常运转；抓好街道各社区基层党组织阵地建设，确保基层党组织各项事业稳定有序开展，保障各项事业规范运行；提升社区干部为民服务能力、提高服务水平，顺利服务居民，提高幸福指数。</w:t>
      </w:r>
    </w:p>
    <w:p>
      <w:pP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资金投入和使用情况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ascii="Times New Roman" w:hAnsi="Times New Roman" w:eastAsia="仿宋_GB2312" w:cs="Times New Roman"/>
          <w:color w:val="auto"/>
          <w:sz w:val="32"/>
          <w:szCs w:val="32"/>
          <w:highlight w:val="none"/>
          <w:lang w:val="en-US" w:eastAsia="zh-CN"/>
        </w:rPr>
        <w:t>95</w:t>
      </w:r>
      <w:r>
        <w:rPr>
          <w:rFonts w:hint="default" w:ascii="Times New Roman" w:hAnsi="Times New Roman" w:eastAsia="仿宋_GB2312" w:cs="Times New Roman"/>
          <w:color w:val="auto"/>
          <w:sz w:val="32"/>
          <w:szCs w:val="32"/>
          <w:highlight w:val="none"/>
          <w:lang w:val="en-US" w:eastAsia="zh-CN"/>
        </w:rPr>
        <w:t>万元，全年预算数</w:t>
      </w:r>
      <w:r>
        <w:rPr>
          <w:rFonts w:hint="eastAsia" w:ascii="Times New Roman" w:hAnsi="Times New Roman" w:eastAsia="仿宋_GB2312" w:cs="Times New Roman"/>
          <w:color w:val="auto"/>
          <w:sz w:val="32"/>
          <w:szCs w:val="32"/>
          <w:highlight w:val="none"/>
          <w:lang w:val="en-US" w:eastAsia="zh-CN"/>
        </w:rPr>
        <w:t>66.12</w:t>
      </w:r>
      <w:r>
        <w:rPr>
          <w:rFonts w:hint="default" w:ascii="Times New Roman" w:hAnsi="Times New Roman" w:eastAsia="仿宋_GB2312" w:cs="Times New Roman"/>
          <w:color w:val="auto"/>
          <w:sz w:val="32"/>
          <w:szCs w:val="32"/>
          <w:highlight w:val="none"/>
          <w:lang w:val="en-US" w:eastAsia="zh-CN"/>
        </w:rPr>
        <w:t>万元，该项目资金已全部落实到位，资金来源为</w:t>
      </w:r>
      <w:r>
        <w:rPr>
          <w:rFonts w:hint="eastAsia" w:ascii="Times New Roman" w:hAnsi="Times New Roman"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（2）资金使用情况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95</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66.12</w:t>
      </w:r>
      <w:r>
        <w:rPr>
          <w:rFonts w:hint="default"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全年执行数</w:t>
      </w:r>
      <w:r>
        <w:rPr>
          <w:rFonts w:hint="eastAsia" w:eastAsia="仿宋_GB2312" w:cs="Times New Roman"/>
          <w:color w:val="auto"/>
          <w:sz w:val="32"/>
          <w:szCs w:val="32"/>
          <w:highlight w:val="none"/>
          <w:lang w:val="en-US" w:eastAsia="zh-CN"/>
        </w:rPr>
        <w:t>66.12</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%，主要用于：保障社区</w:t>
      </w:r>
      <w:r>
        <w:rPr>
          <w:rFonts w:hint="eastAsia" w:eastAsia="仿宋_GB2312" w:cs="Times New Roman"/>
          <w:color w:val="auto"/>
          <w:sz w:val="32"/>
          <w:szCs w:val="32"/>
          <w:highlight w:val="none"/>
          <w:lang w:val="en-US" w:eastAsia="zh-CN"/>
        </w:rPr>
        <w:t>正常运转</w:t>
      </w:r>
      <w:r>
        <w:rPr>
          <w:rFonts w:hint="default" w:ascii="Times New Roman" w:hAnsi="Times New Roman" w:eastAsia="仿宋_GB2312" w:cs="Times New Roman"/>
          <w:color w:val="auto"/>
          <w:sz w:val="32"/>
          <w:szCs w:val="32"/>
          <w:highlight w:val="none"/>
          <w:lang w:val="en-US" w:eastAsia="zh-CN"/>
        </w:rPr>
        <w:t>数量</w:t>
      </w:r>
      <w:r>
        <w:rPr>
          <w:rFonts w:hint="eastAsia" w:ascii="Times New Roman" w:hAnsi="Times New Roman" w:eastAsia="仿宋_GB2312" w:cs="Times New Roman"/>
          <w:color w:val="auto"/>
          <w:sz w:val="32"/>
          <w:szCs w:val="32"/>
          <w:highlight w:val="none"/>
          <w:lang w:val="en-US" w:eastAsia="zh-CN"/>
        </w:rPr>
        <w:t>5个，</w:t>
      </w:r>
      <w:r>
        <w:rPr>
          <w:rFonts w:hint="default" w:ascii="Times New Roman" w:hAnsi="Times New Roman" w:eastAsia="仿宋_GB2312" w:cs="Times New Roman"/>
          <w:color w:val="auto"/>
          <w:sz w:val="32"/>
          <w:szCs w:val="32"/>
          <w:highlight w:val="none"/>
          <w:lang w:val="en-US" w:eastAsia="zh-CN"/>
        </w:rPr>
        <w:t>各社区平均运转经费成本</w:t>
      </w:r>
      <w:r>
        <w:rPr>
          <w:rFonts w:hint="eastAsia" w:ascii="Times New Roman" w:hAnsi="Times New Roman" w:eastAsia="仿宋_GB2312" w:cs="Times New Roman"/>
          <w:color w:val="auto"/>
          <w:sz w:val="32"/>
          <w:szCs w:val="32"/>
          <w:highlight w:val="none"/>
          <w:lang w:val="en-US" w:eastAsia="zh-CN"/>
        </w:rPr>
        <w:t>13.22万元/社区，</w:t>
      </w:r>
      <w:r>
        <w:rPr>
          <w:rFonts w:hint="eastAsia" w:eastAsia="仿宋_GB2312" w:cs="Times New Roman"/>
          <w:color w:val="auto"/>
          <w:sz w:val="32"/>
          <w:szCs w:val="32"/>
          <w:highlight w:val="none"/>
          <w:lang w:val="en-US" w:eastAsia="zh-CN"/>
        </w:rPr>
        <w:t>共计66.12万元</w:t>
      </w:r>
      <w:r>
        <w:rPr>
          <w:rFonts w:hint="default" w:ascii="Times New Roman" w:hAnsi="Times New Roman" w:eastAsia="仿宋_GB2312" w:cs="Times New Roman"/>
          <w:color w:val="auto"/>
          <w:sz w:val="32"/>
          <w:szCs w:val="32"/>
          <w:highlight w:val="none"/>
          <w:lang w:val="en-US" w:eastAsia="zh-CN"/>
        </w:rPr>
        <w:t>。</w:t>
      </w:r>
    </w:p>
    <w:p>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（二）项目绩效目标</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总体目标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目标1：实现社区党委数全覆盖，确保5社区正常运转；目标2：抓好街道各社区基层党组织阵地建设，确保基层党组织各项事业稳定有序开展，保障各项事业规范运行；目标3：提升社区干部为民服务能力、提高服务水平，顺利服务居民，提高幸福指数。</w:t>
      </w:r>
    </w:p>
    <w:p>
      <w:pPr>
        <w:numPr>
          <w:ilvl w:val="0"/>
          <w:numId w:val="0"/>
        </w:numPr>
        <w:spacing w:line="560" w:lineRule="exact"/>
        <w:ind w:firstLine="640" w:firstLineChars="200"/>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阶段性目标</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val="en-US" w:eastAsia="zh-CN"/>
        </w:rPr>
        <w:t>前期准备：</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2024年4月10日，</w:t>
      </w:r>
      <w:r>
        <w:rPr>
          <w:rFonts w:hint="eastAsia" w:ascii="Times New Roman" w:hAnsi="Times New Roman" w:eastAsia="仿宋_GB2312" w:cs="Times New Roman"/>
          <w:color w:val="auto"/>
          <w:sz w:val="32"/>
          <w:szCs w:val="32"/>
          <w:highlight w:val="none"/>
          <w:lang w:val="zh-CN" w:eastAsia="zh-CN"/>
        </w:rPr>
        <w:t>开始前期准备工作，评价组通过前期调研</w:t>
      </w:r>
      <w:r>
        <w:rPr>
          <w:rFonts w:hint="eastAsia" w:ascii="Times New Roman" w:hAnsi="Times New Roman" w:eastAsia="仿宋_GB2312" w:cs="Times New Roman"/>
          <w:color w:val="auto"/>
          <w:sz w:val="32"/>
          <w:szCs w:val="32"/>
          <w:highlight w:val="none"/>
          <w:lang w:val="en-US" w:eastAsia="zh-CN"/>
        </w:rPr>
        <w:t>确定绩效评价对象和范围，</w:t>
      </w:r>
      <w:r>
        <w:rPr>
          <w:rFonts w:hint="eastAsia" w:ascii="Times New Roman" w:hAnsi="Times New Roman" w:eastAsia="仿宋_GB2312" w:cs="Times New Roman"/>
          <w:color w:val="auto"/>
          <w:sz w:val="32"/>
          <w:szCs w:val="32"/>
          <w:highlight w:val="none"/>
          <w:lang w:val="zh-CN" w:eastAsia="zh-CN"/>
        </w:rPr>
        <w:t>确定了评价的目的、方法以及评价的原则，根据项目的内容和特征制定了评价指标体系及评价标准以及评价实施方案，修正并确定所需资料清单，最终确定</w:t>
      </w:r>
      <w:r>
        <w:rPr>
          <w:rFonts w:hint="eastAsia" w:ascii="Times New Roman" w:hAnsi="Times New Roman" w:eastAsia="仿宋_GB2312" w:cs="Times New Roman"/>
          <w:color w:val="auto"/>
          <w:sz w:val="32"/>
          <w:szCs w:val="32"/>
          <w:highlight w:val="none"/>
          <w:lang w:val="en-US" w:eastAsia="zh-CN"/>
        </w:rPr>
        <w:t>绩效评价工作方案；</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val="en-US" w:eastAsia="zh-CN"/>
        </w:rPr>
        <w:t>组织实施：</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 xml:space="preserve">2024年4月12日-4月14日，评价工作进入实施阶段，评价组收集绩效评价相关数据资料，进行现场调研、座谈；并与项目实施负责人沟通，了解资金的内容、操作流程、管理机制、资金使用方向等情况，分析形成初步结论。 </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val="en-US" w:eastAsia="zh-CN"/>
        </w:rPr>
        <w:t>分析评价：</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2024年4月15日- 4月20日，评价组按照绩效评价的原则和规范，对取得的资料进行审查核实，对采集的数据进行分析，按照绩效评价指标评分表逐项进行打分、分析，汇总各方评价结果，综合分析并形成评价结论。</w:t>
      </w:r>
    </w:p>
    <w:p>
      <w:pPr>
        <w:shd w:val="clear"/>
        <w:spacing w:line="600" w:lineRule="exact"/>
        <w:ind w:firstLine="640" w:firstLineChars="200"/>
        <w:outlineLvl w:val="0"/>
        <w:rPr>
          <w:rFonts w:hint="default" w:ascii="Times New Roman" w:hAnsi="Times New Roman" w:eastAsia="仿宋_GB2312" w:cs="Times New Roman"/>
          <w:color w:val="auto"/>
          <w:sz w:val="30"/>
          <w:szCs w:val="30"/>
          <w:highlight w:val="none"/>
          <w:lang w:val="en-US" w:eastAsia="zh-CN"/>
        </w:rPr>
      </w:pPr>
      <w:r>
        <w:rPr>
          <w:rFonts w:hint="eastAsia" w:ascii="Times New Roman" w:hAnsi="Times New Roman" w:eastAsia="仿宋_GB2312" w:cs="Times New Roman"/>
          <w:color w:val="auto"/>
          <w:sz w:val="32"/>
          <w:szCs w:val="32"/>
          <w:highlight w:val="none"/>
          <w:lang w:val="en-US" w:eastAsia="zh-CN"/>
        </w:rPr>
        <w:t>总结全年社区党委工作经验，形成可推广的工作模式，全面评估基层党组织阵地使用效果并优化完善，开展居民满意度调查，根据反馈进一步改进社区干部服务工作，提升居民幸福指数。</w:t>
      </w:r>
    </w:p>
    <w:p>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二、绩效评价工作开展情况</w:t>
      </w:r>
    </w:p>
    <w:p>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（一）绩效评价目的、对象和范围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val="en-US" w:eastAsia="zh-CN"/>
        </w:rPr>
      </w:pPr>
      <w:r>
        <w:rPr>
          <w:rFonts w:hint="default" w:ascii="Times New Roman" w:hAnsi="Times New Roman" w:eastAsia="仿宋_GB2312" w:cs="Times New Roman"/>
          <w:b w:val="0"/>
          <w:bCs w:val="0"/>
          <w:color w:val="auto"/>
          <w:highlight w:val="none"/>
          <w:lang w:val="en-US" w:eastAsia="zh-CN"/>
        </w:rPr>
        <w:t>1.绩效评价完整性</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val="en-US" w:eastAsia="zh-CN"/>
        </w:rPr>
        <w:t>部门专项-社区党建工作经费项目</w:t>
      </w:r>
      <w:r>
        <w:rPr>
          <w:rFonts w:hint="default" w:ascii="Times New Roman" w:hAnsi="Times New Roman" w:eastAsia="仿宋_GB2312" w:cs="Times New Roman"/>
          <w:color w:val="auto"/>
          <w:sz w:val="32"/>
          <w:szCs w:val="32"/>
          <w:highlight w:val="none"/>
          <w:lang w:val="en-US" w:eastAsia="zh-CN"/>
        </w:rPr>
        <w:t>预算绩效评价报告在编制过程中，严格遵循</w:t>
      </w:r>
      <w:r>
        <w:rPr>
          <w:rFonts w:hint="eastAsia" w:eastAsia="仿宋_GB2312" w:cs="Times New Roman"/>
          <w:color w:val="auto"/>
          <w:sz w:val="32"/>
          <w:szCs w:val="32"/>
          <w:highlight w:val="none"/>
          <w:lang w:val="en-US" w:eastAsia="zh-CN"/>
        </w:rPr>
        <w:t>每社区每年13.22万元的</w:t>
      </w:r>
      <w:r>
        <w:rPr>
          <w:rFonts w:hint="default" w:ascii="Times New Roman" w:hAnsi="Times New Roman" w:eastAsia="仿宋_GB2312" w:cs="Times New Roman"/>
          <w:color w:val="auto"/>
          <w:sz w:val="32"/>
          <w:szCs w:val="32"/>
          <w:highlight w:val="none"/>
          <w:lang w:val="en-US" w:eastAsia="zh-CN"/>
        </w:rPr>
        <w:t>标准，确保评价内容的全面性与准确性。报告涵盖了项目从预算编制、执行到完成的全过程，对项目的各项绩效指标进行了细致的梳理与评估。</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val="en-US" w:eastAsia="zh-CN"/>
        </w:rPr>
        <w:t>部门专项-社区党建工作经费项目</w:t>
      </w: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w:t>
      </w:r>
      <w:r>
        <w:rPr>
          <w:rFonts w:hint="eastAsia" w:eastAsia="仿宋_GB2312" w:cs="Times New Roman"/>
          <w:color w:val="auto"/>
          <w:sz w:val="32"/>
          <w:szCs w:val="32"/>
          <w:highlight w:val="none"/>
          <w:lang w:val="en-US" w:eastAsia="zh-CN"/>
        </w:rPr>
        <w:t>如管辖大社区数量和管辖中社区数量上，涵盖了提高服务群众效率的</w:t>
      </w:r>
      <w:r>
        <w:rPr>
          <w:rFonts w:hint="default" w:ascii="Times New Roman" w:hAnsi="Times New Roman" w:eastAsia="仿宋_GB2312" w:cs="Times New Roman"/>
          <w:color w:val="auto"/>
          <w:sz w:val="32"/>
          <w:szCs w:val="32"/>
          <w:highlight w:val="none"/>
          <w:lang w:val="en-US" w:eastAsia="zh-CN"/>
        </w:rPr>
        <w:t>社会效益维度</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力求全方位反映项目的绩效状况。同时，对于每个指标的评价标准和数据来源均进行了明确说明，确保评价结果的客观性和可追溯性。</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部门专项-社区党建工作经费项目</w:t>
      </w:r>
      <w:r>
        <w:rPr>
          <w:rFonts w:hint="default" w:ascii="Times New Roman" w:hAnsi="Times New Roman" w:eastAsia="仿宋_GB2312" w:cs="Times New Roman"/>
          <w:color w:val="auto"/>
          <w:sz w:val="32"/>
          <w:szCs w:val="32"/>
          <w:highlight w:val="none"/>
          <w:lang w:val="en-US" w:eastAsia="zh-CN"/>
        </w:rPr>
        <w:t>在数据收集环节，采用了多种科学合理的方法，</w:t>
      </w:r>
      <w:r>
        <w:rPr>
          <w:rFonts w:hint="eastAsia" w:eastAsia="仿宋_GB2312" w:cs="Times New Roman"/>
          <w:color w:val="auto"/>
          <w:sz w:val="32"/>
          <w:szCs w:val="32"/>
          <w:highlight w:val="none"/>
          <w:lang w:val="en-US" w:eastAsia="zh-CN"/>
        </w:rPr>
        <w:t>如</w:t>
      </w:r>
      <w:r>
        <w:rPr>
          <w:rFonts w:hint="default" w:ascii="Times New Roman" w:hAnsi="Times New Roman" w:eastAsia="仿宋_GB2312" w:cs="Times New Roman"/>
          <w:color w:val="auto"/>
          <w:sz w:val="32"/>
          <w:szCs w:val="32"/>
          <w:highlight w:val="none"/>
          <w:lang w:val="en-US" w:eastAsia="zh-CN"/>
        </w:rPr>
        <w:t>问卷调查</w:t>
      </w:r>
      <w:r>
        <w:rPr>
          <w:rFonts w:hint="eastAsia" w:eastAsia="仿宋_GB2312" w:cs="Times New Roman"/>
          <w:color w:val="auto"/>
          <w:sz w:val="32"/>
          <w:szCs w:val="32"/>
          <w:highlight w:val="none"/>
          <w:lang w:val="en-US" w:eastAsia="zh-CN"/>
        </w:rPr>
        <w:t>、座谈会</w:t>
      </w:r>
      <w:r>
        <w:rPr>
          <w:rFonts w:hint="default" w:ascii="Times New Roman" w:hAnsi="Times New Roman" w:eastAsia="仿宋_GB2312" w:cs="Times New Roman"/>
          <w:color w:val="auto"/>
          <w:sz w:val="32"/>
          <w:szCs w:val="32"/>
          <w:highlight w:val="none"/>
          <w:lang w:val="en-US" w:eastAsia="zh-CN"/>
        </w:rPr>
        <w:t>，广泛收集了与</w:t>
      </w:r>
      <w:r>
        <w:rPr>
          <w:rFonts w:hint="default" w:eastAsia="仿宋_GB2312" w:cs="Times New Roman"/>
          <w:color w:val="auto"/>
          <w:sz w:val="32"/>
          <w:szCs w:val="32"/>
          <w:highlight w:val="none"/>
          <w:lang w:val="en-US" w:eastAsia="zh-CN"/>
        </w:rPr>
        <w:t>部门专项-社区党建工作经费</w:t>
      </w:r>
      <w:r>
        <w:rPr>
          <w:rFonts w:hint="eastAsia" w:eastAsia="仿宋_GB2312" w:cs="Times New Roman"/>
          <w:color w:val="auto"/>
          <w:sz w:val="32"/>
          <w:szCs w:val="32"/>
          <w:highlight w:val="none"/>
          <w:lang w:val="en-US" w:eastAsia="zh-CN"/>
        </w:rPr>
        <w:t>项目</w:t>
      </w:r>
      <w:r>
        <w:rPr>
          <w:rFonts w:hint="default" w:ascii="Times New Roman" w:hAnsi="Times New Roman" w:eastAsia="仿宋_GB2312" w:cs="Times New Roman"/>
          <w:color w:val="auto"/>
          <w:sz w:val="32"/>
          <w:szCs w:val="32"/>
          <w:highlight w:val="none"/>
          <w:lang w:val="en-US" w:eastAsia="zh-CN"/>
        </w:rPr>
        <w:t>相关数据，</w:t>
      </w:r>
      <w:r>
        <w:rPr>
          <w:rFonts w:hint="eastAsia" w:eastAsia="仿宋_GB2312" w:cs="Times New Roman"/>
          <w:color w:val="auto"/>
          <w:sz w:val="32"/>
          <w:szCs w:val="32"/>
          <w:highlight w:val="none"/>
          <w:lang w:val="en-US" w:eastAsia="zh-CN"/>
        </w:rPr>
        <w:t>通过匿名填写调查问卷内容体现真实服务辖区人员效率情况</w:t>
      </w:r>
      <w:r>
        <w:rPr>
          <w:rFonts w:hint="default" w:ascii="Times New Roman" w:hAnsi="Times New Roman" w:eastAsia="仿宋_GB2312" w:cs="Times New Roman"/>
          <w:color w:val="auto"/>
          <w:sz w:val="32"/>
          <w:szCs w:val="32"/>
          <w:highlight w:val="none"/>
          <w:lang w:val="en-US" w:eastAsia="zh-CN"/>
        </w:rPr>
        <w:t>，以确保评价结论的真实性和有效性。</w:t>
      </w:r>
    </w:p>
    <w:p>
      <w:pPr>
        <w:spacing w:line="560" w:lineRule="exact"/>
        <w:ind w:firstLine="640" w:firstLineChars="200"/>
        <w:rPr>
          <w:rFonts w:hint="eastAsia"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部门专项-社区党建工作经费项目</w:t>
      </w: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在报告的撰写结构上，按照统一的格式和规范进行编排，内容层次分明、条理清晰。对项目的</w:t>
      </w:r>
      <w:r>
        <w:rPr>
          <w:rFonts w:hint="eastAsia" w:eastAsia="仿宋_GB2312" w:cs="Times New Roman"/>
          <w:color w:val="auto"/>
          <w:sz w:val="32"/>
          <w:szCs w:val="32"/>
          <w:highlight w:val="none"/>
          <w:lang w:val="en-US" w:eastAsia="zh-CN"/>
        </w:rPr>
        <w:t>整体</w:t>
      </w:r>
      <w:r>
        <w:rPr>
          <w:rFonts w:hint="default" w:ascii="Times New Roman" w:hAnsi="Times New Roman" w:eastAsia="仿宋_GB2312" w:cs="Times New Roman"/>
          <w:color w:val="auto"/>
          <w:sz w:val="32"/>
          <w:szCs w:val="32"/>
          <w:highlight w:val="none"/>
          <w:lang w:val="en-US" w:eastAsia="zh-CN"/>
        </w:rPr>
        <w:t>背景、</w:t>
      </w:r>
      <w:r>
        <w:rPr>
          <w:rFonts w:hint="eastAsia" w:eastAsia="仿宋_GB2312" w:cs="Times New Roman"/>
          <w:color w:val="auto"/>
          <w:sz w:val="32"/>
          <w:szCs w:val="32"/>
          <w:highlight w:val="none"/>
          <w:lang w:val="en-US" w:eastAsia="zh-CN"/>
        </w:rPr>
        <w:t>评价方法、绩效分析等方面进行分类，形成有效层级</w:t>
      </w:r>
      <w:r>
        <w:rPr>
          <w:rFonts w:hint="default" w:ascii="Times New Roman" w:hAnsi="Times New Roman" w:eastAsia="仿宋_GB2312" w:cs="Times New Roman"/>
          <w:color w:val="auto"/>
          <w:sz w:val="32"/>
          <w:szCs w:val="32"/>
          <w:highlight w:val="none"/>
          <w:lang w:val="en-US" w:eastAsia="zh-CN"/>
        </w:rPr>
        <w:t>为后续的</w:t>
      </w:r>
      <w:r>
        <w:rPr>
          <w:rFonts w:hint="eastAsia" w:eastAsia="仿宋_GB2312" w:cs="Times New Roman"/>
          <w:color w:val="auto"/>
          <w:sz w:val="32"/>
          <w:szCs w:val="32"/>
          <w:highlight w:val="none"/>
          <w:lang w:val="en-US" w:eastAsia="zh-CN"/>
        </w:rPr>
        <w:t>撰写</w:t>
      </w:r>
      <w:r>
        <w:rPr>
          <w:rFonts w:hint="default" w:ascii="Times New Roman" w:hAnsi="Times New Roman" w:eastAsia="仿宋_GB2312" w:cs="Times New Roman"/>
          <w:color w:val="auto"/>
          <w:sz w:val="32"/>
          <w:szCs w:val="32"/>
          <w:highlight w:val="none"/>
          <w:lang w:val="en-US" w:eastAsia="zh-CN"/>
        </w:rPr>
        <w:t>提供</w:t>
      </w:r>
      <w:r>
        <w:rPr>
          <w:rFonts w:hint="eastAsia" w:eastAsia="仿宋_GB2312" w:cs="Times New Roman"/>
          <w:color w:val="auto"/>
          <w:sz w:val="32"/>
          <w:szCs w:val="32"/>
          <w:highlight w:val="none"/>
          <w:lang w:val="en-US" w:eastAsia="zh-CN"/>
        </w:rPr>
        <w:t>框架；</w:t>
      </w:r>
      <w:r>
        <w:rPr>
          <w:rFonts w:hint="default" w:ascii="Times New Roman" w:hAnsi="Times New Roman" w:eastAsia="仿宋_GB2312" w:cs="Times New Roman"/>
          <w:color w:val="auto"/>
          <w:sz w:val="32"/>
          <w:szCs w:val="32"/>
          <w:highlight w:val="none"/>
          <w:lang w:val="en-US" w:eastAsia="zh-CN"/>
        </w:rPr>
        <w:t>然后对各项绩效指标的完成情况进行了逐一分析和评价，指出了项目在实施过程中存在的问题和不足，并提出了相应的改进建议；最后对整个项目的绩效状况进行了</w:t>
      </w:r>
      <w:r>
        <w:rPr>
          <w:rFonts w:hint="eastAsia" w:eastAsia="仿宋_GB2312" w:cs="Times New Roman"/>
          <w:color w:val="auto"/>
          <w:sz w:val="32"/>
          <w:szCs w:val="32"/>
          <w:highlight w:val="none"/>
          <w:lang w:val="en-US" w:eastAsia="zh-CN"/>
        </w:rPr>
        <w:t>结论和建议</w:t>
      </w: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按优先级排序，</w:t>
      </w:r>
      <w:r>
        <w:rPr>
          <w:rFonts w:hint="default" w:ascii="Times New Roman" w:hAnsi="Times New Roman" w:eastAsia="仿宋_GB2312" w:cs="Times New Roman"/>
          <w:color w:val="auto"/>
          <w:sz w:val="32"/>
          <w:szCs w:val="32"/>
          <w:highlight w:val="none"/>
          <w:lang w:val="en-US" w:eastAsia="zh-CN"/>
        </w:rPr>
        <w:t>给出了明确的评价结论和后续工作的建议</w:t>
      </w:r>
      <w:r>
        <w:rPr>
          <w:rFonts w:hint="eastAsia" w:eastAsia="仿宋_GB2312" w:cs="Times New Roman"/>
          <w:color w:val="auto"/>
          <w:sz w:val="32"/>
          <w:szCs w:val="32"/>
          <w:highlight w:val="none"/>
          <w:lang w:val="en-US" w:eastAsia="zh-CN"/>
        </w:rPr>
        <w:t>。</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w:t>
      </w:r>
      <w:r>
        <w:rPr>
          <w:rFonts w:hint="eastAsia" w:eastAsia="仿宋_GB2312" w:cs="Times New Roman"/>
          <w:color w:val="auto"/>
          <w:sz w:val="32"/>
          <w:szCs w:val="32"/>
          <w:highlight w:val="none"/>
          <w:lang w:val="en-US" w:eastAsia="zh-CN"/>
        </w:rPr>
        <w:t>部门专项-社区党建工作经费项目</w:t>
      </w:r>
      <w:r>
        <w:rPr>
          <w:rFonts w:hint="default" w:ascii="Times New Roman" w:hAnsi="Times New Roman" w:eastAsia="仿宋_GB2312" w:cs="Times New Roman"/>
          <w:color w:val="auto"/>
          <w:sz w:val="32"/>
          <w:szCs w:val="32"/>
          <w:highlight w:val="none"/>
        </w:rPr>
        <w:t>预算执行情况及各项绩效目标达成程度的系统性分析，全面、客观地评估项目在预定周期内的实施效果，包括提高服务群众效率</w:t>
      </w:r>
      <w:r>
        <w:rPr>
          <w:rFonts w:hint="eastAsia" w:eastAsia="仿宋_GB2312" w:cs="Times New Roman"/>
          <w:color w:val="auto"/>
          <w:sz w:val="32"/>
          <w:szCs w:val="32"/>
          <w:highlight w:val="none"/>
          <w:lang w:val="en-US" w:eastAsia="zh-CN"/>
        </w:rPr>
        <w:t>的</w:t>
      </w:r>
      <w:r>
        <w:rPr>
          <w:rFonts w:hint="default" w:ascii="Times New Roman" w:hAnsi="Times New Roman" w:eastAsia="仿宋_GB2312" w:cs="Times New Roman"/>
          <w:color w:val="auto"/>
          <w:sz w:val="32"/>
          <w:szCs w:val="32"/>
          <w:highlight w:val="none"/>
        </w:rPr>
        <w:t>社会效益指标，为项目后续的改进与优化提供科学依据。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val="en-US" w:eastAsia="zh-CN"/>
        </w:rPr>
        <w:t>通过对部门专项-社区党建工作经费项目实施，识别短板、优化资源配置，</w:t>
      </w:r>
      <w:r>
        <w:rPr>
          <w:rFonts w:hint="default" w:ascii="Times New Roman" w:hAnsi="Times New Roman" w:eastAsia="仿宋_GB2312" w:cs="Times New Roman"/>
          <w:color w:val="auto"/>
          <w:sz w:val="32"/>
          <w:szCs w:val="32"/>
          <w:highlight w:val="none"/>
        </w:rPr>
        <w:t>识别资金使用过程中的环节与低效领域，挖掘潜在的资源优化配置空间，推动项目在有限的预算资源下实现更高的绩效产出，提升整体资源利用效率</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w:t>
      </w:r>
      <w:r>
        <w:rPr>
          <w:rFonts w:hint="eastAsia" w:eastAsia="仿宋_GB2312" w:cs="Times New Roman"/>
          <w:color w:val="auto"/>
          <w:sz w:val="32"/>
          <w:szCs w:val="32"/>
          <w:highlight w:val="none"/>
          <w:lang w:val="en-US" w:eastAsia="zh-CN"/>
        </w:rPr>
        <w:t>部门专项-社区党建工作经费</w:t>
      </w:r>
      <w:r>
        <w:rPr>
          <w:rFonts w:hint="default" w:ascii="Times New Roman" w:hAnsi="Times New Roman" w:eastAsia="仿宋_GB2312" w:cs="Times New Roman"/>
          <w:color w:val="auto"/>
          <w:sz w:val="32"/>
          <w:szCs w:val="32"/>
          <w:highlight w:val="none"/>
        </w:rPr>
        <w:t>项目主管部门、财政部门提供详实、准确的绩效评价信息，</w:t>
      </w:r>
      <w:r>
        <w:rPr>
          <w:rFonts w:hint="eastAsia" w:eastAsia="仿宋_GB2312" w:cs="Times New Roman"/>
          <w:color w:val="auto"/>
          <w:sz w:val="32"/>
          <w:szCs w:val="32"/>
          <w:highlight w:val="none"/>
          <w:lang w:val="en-US" w:eastAsia="zh-CN"/>
        </w:rPr>
        <w:t>在</w:t>
      </w:r>
      <w:r>
        <w:rPr>
          <w:rFonts w:hint="default" w:ascii="Times New Roman" w:hAnsi="Times New Roman" w:eastAsia="仿宋_GB2312" w:cs="Times New Roman"/>
          <w:color w:val="auto"/>
          <w:sz w:val="32"/>
          <w:szCs w:val="32"/>
          <w:highlight w:val="none"/>
        </w:rPr>
        <w:t>关键决策环节做出科学、合理的判断，促进项目资源的合理分配与有效整合，推动</w:t>
      </w:r>
      <w:r>
        <w:rPr>
          <w:rFonts w:hint="eastAsia" w:eastAsia="仿宋_GB2312" w:cs="Times New Roman"/>
          <w:color w:val="auto"/>
          <w:sz w:val="32"/>
          <w:szCs w:val="32"/>
          <w:highlight w:val="none"/>
          <w:lang w:val="en-US" w:eastAsia="zh-CN"/>
        </w:rPr>
        <w:t>决策实施的准确性，</w:t>
      </w:r>
      <w:r>
        <w:rPr>
          <w:rFonts w:hint="default" w:ascii="Times New Roman" w:hAnsi="Times New Roman" w:eastAsia="仿宋_GB2312" w:cs="Times New Roman"/>
          <w:color w:val="auto"/>
          <w:sz w:val="32"/>
          <w:szCs w:val="32"/>
          <w:highlight w:val="none"/>
        </w:rPr>
        <w:t>提升资源</w:t>
      </w:r>
      <w:r>
        <w:rPr>
          <w:rFonts w:hint="eastAsia" w:eastAsia="仿宋_GB2312" w:cs="Times New Roman"/>
          <w:color w:val="auto"/>
          <w:sz w:val="32"/>
          <w:szCs w:val="32"/>
          <w:highlight w:val="none"/>
          <w:lang w:val="en-US" w:eastAsia="zh-CN"/>
        </w:rPr>
        <w:t>高效</w:t>
      </w:r>
      <w:r>
        <w:rPr>
          <w:rFonts w:hint="default" w:ascii="Times New Roman" w:hAnsi="Times New Roman" w:eastAsia="仿宋_GB2312" w:cs="Times New Roman"/>
          <w:color w:val="auto"/>
          <w:sz w:val="32"/>
          <w:szCs w:val="32"/>
          <w:highlight w:val="none"/>
        </w:rPr>
        <w:t>配置。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val="en-US" w:eastAsia="zh-CN"/>
        </w:rPr>
        <w:t>持续推进动态监测，对于</w:t>
      </w:r>
      <w:r>
        <w:rPr>
          <w:rFonts w:hint="default" w:ascii="Times New Roman" w:hAnsi="Times New Roman" w:eastAsia="仿宋_GB2312" w:cs="Times New Roman"/>
          <w:color w:val="auto"/>
          <w:sz w:val="32"/>
          <w:szCs w:val="32"/>
          <w:highlight w:val="none"/>
        </w:rPr>
        <w:t>绩效评价</w:t>
      </w:r>
      <w:r>
        <w:rPr>
          <w:rFonts w:hint="eastAsia" w:eastAsia="仿宋_GB2312" w:cs="Times New Roman"/>
          <w:color w:val="auto"/>
          <w:sz w:val="32"/>
          <w:szCs w:val="32"/>
          <w:highlight w:val="none"/>
          <w:lang w:val="en-US" w:eastAsia="zh-CN"/>
        </w:rPr>
        <w:t>中</w:t>
      </w:r>
      <w:r>
        <w:rPr>
          <w:rFonts w:hint="default" w:ascii="Times New Roman" w:hAnsi="Times New Roman" w:eastAsia="仿宋_GB2312" w:cs="Times New Roman"/>
          <w:color w:val="auto"/>
          <w:sz w:val="32"/>
          <w:szCs w:val="32"/>
          <w:highlight w:val="none"/>
        </w:rPr>
        <w:t>发现的问题与不足，提出针对性的改进建议与措施，加强过程监控把控，形成项目绩效持续改进的良性循环</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实现项目长期稳定发展的目标。</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部门专项-社区党建工作经费项目</w:t>
      </w:r>
      <w:r>
        <w:rPr>
          <w:rFonts w:hint="default" w:ascii="Times New Roman" w:hAnsi="Times New Roman" w:eastAsia="仿宋_GB2312" w:cs="Times New Roman"/>
          <w:b w:val="0"/>
          <w:bCs w:val="0"/>
          <w:color w:val="auto"/>
          <w:kern w:val="2"/>
          <w:sz w:val="32"/>
          <w:szCs w:val="32"/>
          <w:highlight w:val="none"/>
          <w:lang w:val="en-US" w:eastAsia="zh-CN" w:bidi="ar-SA"/>
        </w:rPr>
        <w:t>预算绩效评价报告的编制以提升项目绩效为核心，旨在通过科学、严谨的评价工作，为项目管理与决策提供全方位的支持，</w:t>
      </w:r>
      <w:r>
        <w:rPr>
          <w:rFonts w:hint="eastAsia" w:ascii="Times New Roman" w:hAnsi="Times New Roman" w:eastAsia="仿宋_GB2312" w:cs="Times New Roman"/>
          <w:b w:val="0"/>
          <w:bCs w:val="0"/>
          <w:color w:val="auto"/>
          <w:kern w:val="2"/>
          <w:sz w:val="32"/>
          <w:szCs w:val="32"/>
          <w:highlight w:val="none"/>
          <w:lang w:val="en-US" w:eastAsia="zh-CN" w:bidi="ar-SA"/>
        </w:rPr>
        <w:t>使</w:t>
      </w:r>
      <w:r>
        <w:rPr>
          <w:rFonts w:hint="default" w:ascii="Times New Roman" w:hAnsi="Times New Roman" w:eastAsia="仿宋_GB2312" w:cs="Times New Roman"/>
          <w:b w:val="0"/>
          <w:bCs w:val="0"/>
          <w:color w:val="auto"/>
          <w:kern w:val="2"/>
          <w:sz w:val="32"/>
          <w:szCs w:val="32"/>
          <w:highlight w:val="none"/>
          <w:lang w:val="en-US" w:eastAsia="zh-CN" w:bidi="ar-SA"/>
        </w:rPr>
        <w:t>项目在预算约束下实现高质量、可持续发展，充分发挥财政资金的社会效益。</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val="en-US" w:eastAsia="zh-CN"/>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绩效评价的对象</w:t>
      </w:r>
    </w:p>
    <w:p>
      <w:pPr>
        <w:spacing w:line="700" w:lineRule="exact"/>
        <w:ind w:firstLine="640" w:firstLineChars="200"/>
        <w:jc w:val="left"/>
        <w:rPr>
          <w:rFonts w:hint="default" w:ascii="Times New Roman" w:hAnsi="Times New Roman" w:eastAsia="仿宋_GB2312" w:cs="Times New Roman"/>
          <w:b w:val="0"/>
          <w:bCs w:val="0"/>
          <w:color w:val="auto"/>
          <w:kern w:val="28"/>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部门专项-社区党建工作经费</w:t>
      </w:r>
      <w:r>
        <w:rPr>
          <w:rFonts w:hint="default" w:ascii="Times New Roman" w:hAnsi="Times New Roman" w:eastAsia="仿宋_GB2312" w:cs="Times New Roman"/>
          <w:b w:val="0"/>
          <w:bCs w:val="0"/>
          <w:color w:val="auto"/>
          <w:kern w:val="28"/>
          <w:sz w:val="32"/>
          <w:szCs w:val="32"/>
          <w:highlight w:val="none"/>
          <w:lang w:val="en-US" w:eastAsia="zh-CN" w:bidi="ar-SA"/>
        </w:rPr>
        <w:t>预算绩效评价报告的评价对象是部门专项-社区党建工作经及其预算执行情况。</w:t>
      </w:r>
      <w:r>
        <w:rPr>
          <w:rFonts w:hint="default" w:ascii="Times New Roman" w:hAnsi="Times New Roman" w:eastAsia="仿宋_GB2312" w:cs="Times New Roman"/>
          <w:b w:val="0"/>
          <w:bCs w:val="0"/>
          <w:color w:val="auto"/>
          <w:kern w:val="2"/>
          <w:sz w:val="32"/>
          <w:szCs w:val="32"/>
          <w:highlight w:val="none"/>
          <w:lang w:val="en-US" w:eastAsia="zh-CN" w:bidi="ar-SA"/>
        </w:rPr>
        <w:t>该项目由</w:t>
      </w:r>
      <w:r>
        <w:rPr>
          <w:rFonts w:hint="eastAsia" w:ascii="Times New Roman" w:hAnsi="Times New Roman" w:eastAsia="仿宋_GB2312" w:cs="Times New Roman"/>
          <w:b w:val="0"/>
          <w:bCs w:val="0"/>
          <w:color w:val="auto"/>
          <w:kern w:val="2"/>
          <w:sz w:val="32"/>
          <w:szCs w:val="32"/>
          <w:highlight w:val="none"/>
          <w:lang w:val="en-US" w:eastAsia="zh-CN" w:bidi="ar-SA"/>
        </w:rPr>
        <w:t>党建办</w:t>
      </w:r>
      <w:r>
        <w:rPr>
          <w:rFonts w:hint="default" w:ascii="Times New Roman" w:hAnsi="Times New Roman" w:eastAsia="仿宋_GB2312" w:cs="Times New Roman"/>
          <w:b w:val="0"/>
          <w:bCs w:val="0"/>
          <w:color w:val="auto"/>
          <w:kern w:val="2"/>
          <w:sz w:val="32"/>
          <w:szCs w:val="32"/>
          <w:highlight w:val="none"/>
          <w:lang w:val="en-US" w:eastAsia="zh-CN" w:bidi="ar-SA"/>
        </w:rPr>
        <w:t>负责实施，旨在确保5个社区正常运转；抓好街道各社区基层党组织阵地建设，确保基层党组织各项事业稳定有序开展，保障各项事业规范运行；提升社区干部为民服务能力、提高服务水平，顺利服务于居民，提高</w:t>
      </w:r>
      <w:r>
        <w:rPr>
          <w:rFonts w:hint="eastAsia" w:ascii="Times New Roman" w:hAnsi="Times New Roman" w:eastAsia="仿宋_GB2312" w:cs="Times New Roman"/>
          <w:b w:val="0"/>
          <w:bCs w:val="0"/>
          <w:color w:val="auto"/>
          <w:kern w:val="2"/>
          <w:sz w:val="32"/>
          <w:szCs w:val="32"/>
          <w:highlight w:val="none"/>
          <w:lang w:val="en-US" w:eastAsia="zh-CN" w:bidi="ar-SA"/>
        </w:rPr>
        <w:t>居民</w:t>
      </w:r>
      <w:r>
        <w:rPr>
          <w:rFonts w:hint="default" w:ascii="Times New Roman" w:hAnsi="Times New Roman" w:eastAsia="仿宋_GB2312" w:cs="Times New Roman"/>
          <w:b w:val="0"/>
          <w:bCs w:val="0"/>
          <w:color w:val="auto"/>
          <w:kern w:val="2"/>
          <w:sz w:val="32"/>
          <w:szCs w:val="32"/>
          <w:highlight w:val="none"/>
          <w:lang w:val="en-US" w:eastAsia="zh-CN" w:bidi="ar-SA"/>
        </w:rPr>
        <w:t>幸福指数</w:t>
      </w:r>
      <w:r>
        <w:rPr>
          <w:rFonts w:hint="default" w:ascii="Times New Roman" w:hAnsi="Times New Roman" w:eastAsia="仿宋_GB2312" w:cs="Times New Roman"/>
          <w:b w:val="0"/>
          <w:bCs w:val="0"/>
          <w:color w:val="auto"/>
          <w:kern w:val="28"/>
          <w:sz w:val="32"/>
          <w:szCs w:val="32"/>
          <w:highlight w:val="none"/>
          <w:lang w:val="en-US" w:eastAsia="zh-CN" w:bidi="ar-SA"/>
        </w:rPr>
        <w:t>。项目预算涵盖从</w:t>
      </w:r>
      <w:r>
        <w:rPr>
          <w:rFonts w:hint="eastAsia" w:eastAsia="仿宋_GB2312" w:cs="Times New Roman"/>
          <w:b w:val="0"/>
          <w:bCs w:val="0"/>
          <w:color w:val="auto"/>
          <w:kern w:val="28"/>
          <w:sz w:val="32"/>
          <w:szCs w:val="32"/>
          <w:highlight w:val="none"/>
          <w:lang w:val="en-US" w:eastAsia="zh-CN" w:bidi="ar-SA"/>
        </w:rPr>
        <w:t>2024年1月1日</w:t>
      </w:r>
      <w:r>
        <w:rPr>
          <w:rFonts w:hint="default" w:ascii="Times New Roman" w:hAnsi="Times New Roman" w:eastAsia="仿宋_GB2312" w:cs="Times New Roman"/>
          <w:b w:val="0"/>
          <w:bCs w:val="0"/>
          <w:color w:val="auto"/>
          <w:kern w:val="28"/>
          <w:sz w:val="32"/>
          <w:szCs w:val="32"/>
          <w:highlight w:val="none"/>
          <w:lang w:val="en-US" w:eastAsia="zh-CN" w:bidi="ar-SA"/>
        </w:rPr>
        <w:t>至</w:t>
      </w:r>
      <w:r>
        <w:rPr>
          <w:rFonts w:hint="eastAsia" w:eastAsia="仿宋_GB2312" w:cs="Times New Roman"/>
          <w:b w:val="0"/>
          <w:bCs w:val="0"/>
          <w:color w:val="auto"/>
          <w:kern w:val="28"/>
          <w:sz w:val="32"/>
          <w:szCs w:val="32"/>
          <w:highlight w:val="none"/>
          <w:lang w:val="en-US" w:eastAsia="zh-CN" w:bidi="ar-SA"/>
        </w:rPr>
        <w:t>2024年12月31日</w:t>
      </w:r>
      <w:r>
        <w:rPr>
          <w:rFonts w:hint="default" w:ascii="Times New Roman" w:hAnsi="Times New Roman" w:eastAsia="仿宋_GB2312" w:cs="Times New Roman"/>
          <w:b w:val="0"/>
          <w:bCs w:val="0"/>
          <w:color w:val="auto"/>
          <w:kern w:val="28"/>
          <w:sz w:val="32"/>
          <w:szCs w:val="32"/>
          <w:highlight w:val="none"/>
          <w:lang w:val="en-US" w:eastAsia="zh-CN" w:bidi="ar-SA"/>
        </w:rPr>
        <w:t>的全部资金投入与支出，涉及资金总额为</w:t>
      </w:r>
      <w:r>
        <w:rPr>
          <w:rFonts w:hint="eastAsia" w:eastAsia="仿宋_GB2312" w:cs="Times New Roman"/>
          <w:b w:val="0"/>
          <w:bCs w:val="0"/>
          <w:color w:val="auto"/>
          <w:kern w:val="28"/>
          <w:sz w:val="32"/>
          <w:szCs w:val="32"/>
          <w:highlight w:val="none"/>
          <w:lang w:val="en-US" w:eastAsia="zh-CN" w:bidi="ar-SA"/>
        </w:rPr>
        <w:t>66.12</w:t>
      </w:r>
      <w:r>
        <w:rPr>
          <w:rFonts w:hint="default" w:ascii="Times New Roman" w:hAnsi="Times New Roman" w:eastAsia="仿宋_GB2312" w:cs="Times New Roman"/>
          <w:b w:val="0"/>
          <w:bCs w:val="0"/>
          <w:color w:val="auto"/>
          <w:kern w:val="28"/>
          <w:sz w:val="32"/>
          <w:szCs w:val="32"/>
          <w:highlight w:val="none"/>
          <w:lang w:val="en-US" w:eastAsia="zh-CN" w:bidi="ar-SA"/>
        </w:rPr>
        <w:t>万元。</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val="en-US" w:eastAsia="zh-CN"/>
        </w:rPr>
        <w:t>4.</w:t>
      </w:r>
      <w:r>
        <w:rPr>
          <w:rFonts w:hint="default" w:ascii="Times New Roman" w:hAnsi="Times New Roman" w:eastAsia="仿宋_GB2312" w:cs="Times New Roman"/>
          <w:b w:val="0"/>
          <w:bCs w:val="0"/>
          <w:color w:val="auto"/>
          <w:highlight w:val="none"/>
        </w:rPr>
        <w:t>绩效评价的范围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eastAsia" w:ascii="Times New Roman" w:hAnsi="Times New Roman" w:eastAsia="仿宋_GB2312" w:cs="Times New Roman"/>
          <w:b w:val="0"/>
          <w:bCs w:val="0"/>
          <w:color w:val="auto"/>
          <w:highlight w:val="none"/>
          <w:lang w:eastAsia="zh-CN"/>
        </w:rPr>
        <w:t>部门专项-社区党建工作经费项目</w:t>
      </w:r>
      <w:r>
        <w:rPr>
          <w:rFonts w:hint="default" w:ascii="Times New Roman" w:hAnsi="Times New Roman" w:eastAsia="仿宋_GB2312" w:cs="Times New Roman"/>
          <w:b w:val="0"/>
          <w:bCs w:val="0"/>
          <w:color w:val="auto"/>
          <w:highlight w:val="none"/>
        </w:rPr>
        <w:t>预算绩效评价报告的评价范围广泛而全面，涵盖了从项目立项至评价时点期间的所有关键预算活动和财务流程。具体而言，评价范围包括但不限于以下几个方面：</w:t>
      </w:r>
    </w:p>
    <w:p>
      <w:pPr>
        <w:pStyle w:val="10"/>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项目预算编制与执行：全面审视项目预算的编制依据、合理性、科学性以及实际执行情况，包括预算调整的原因和效果。</w:t>
      </w:r>
    </w:p>
    <w:p>
      <w:pPr>
        <w:pStyle w:val="10"/>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资金管理：深入分析项目资金的分配、使用和监管情况，确保资金使用的合规性、高效性和透明度。</w:t>
      </w:r>
    </w:p>
    <w:p>
      <w:pPr>
        <w:pStyle w:val="10"/>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项目实施进度与产出：评估项目是否按照既定计划顺利推进，各项任务是否按时完成，以及项目产出的数量、质量和时效性是否符合预期。</w:t>
      </w:r>
    </w:p>
    <w:p>
      <w:pPr>
        <w:pStyle w:val="10"/>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社会</w:t>
      </w:r>
      <w:r>
        <w:rPr>
          <w:rFonts w:hint="default" w:ascii="Times New Roman" w:hAnsi="Times New Roman" w:eastAsia="仿宋_GB2312" w:cs="Times New Roman"/>
          <w:b w:val="0"/>
          <w:bCs w:val="0"/>
          <w:color w:val="auto"/>
          <w:highlight w:val="none"/>
          <w:lang w:val="en-US" w:eastAsia="zh-CN"/>
        </w:rPr>
        <w:t>等</w:t>
      </w:r>
      <w:r>
        <w:rPr>
          <w:rFonts w:hint="default" w:ascii="Times New Roman" w:hAnsi="Times New Roman" w:eastAsia="仿宋_GB2312" w:cs="Times New Roman"/>
          <w:b w:val="0"/>
          <w:bCs w:val="0"/>
          <w:color w:val="auto"/>
          <w:highlight w:val="none"/>
        </w:rPr>
        <w:t>影响：考察项目对社会方面的综合影响。</w:t>
      </w:r>
    </w:p>
    <w:p>
      <w:pPr>
        <w:spacing w:line="560" w:lineRule="exact"/>
        <w:ind w:firstLine="643" w:firstLineChars="200"/>
        <w:rPr>
          <w:rFonts w:hint="default" w:ascii="Times New Roman" w:hAnsi="Times New Roman" w:cs="Times New Roman"/>
          <w:color w:val="auto"/>
          <w:highlight w:val="none"/>
        </w:rPr>
      </w:pPr>
      <w:r>
        <w:rPr>
          <w:rFonts w:hint="default" w:ascii="Times New Roman" w:hAnsi="Times New Roman" w:eastAsia="楷体_GB2312" w:cs="Times New Roman"/>
          <w:b/>
          <w:bCs/>
          <w:color w:val="auto"/>
          <w:sz w:val="32"/>
          <w:szCs w:val="32"/>
          <w:highlight w:val="none"/>
        </w:rPr>
        <w:t>（二）绩效评价原则、评价指标体系（详情见表1）、评价方法、评价标准。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绩效评价原则</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本次项目绩效评价遵循以下基本原则：</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（3）激励约束。绩效评价结果应与预算安排、政策调整、改进管理实质性挂钩，体现奖优罚劣和激励相容导向，有效要安排、低效要压减、无效要问责。</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（4）公开透明。绩效评价结果应依法依规公开，并自觉接受社会监督。</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评价指标体系</w:t>
      </w:r>
    </w:p>
    <w:p>
      <w:pPr>
        <w:spacing w:line="560" w:lineRule="exact"/>
        <w:ind w:firstLine="708" w:firstLineChars="200"/>
        <w:rPr>
          <w:rFonts w:hint="default" w:ascii="Times New Roman" w:hAnsi="Times New Roman"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（1）确定评价指标</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（2）确定权重</w:t>
      </w:r>
    </w:p>
    <w:p>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commentRangeStart w:id="0"/>
      <w:r>
        <w:rPr>
          <w:rFonts w:hint="default" w:ascii="Times New Roman" w:hAnsi="Times New Roman" w:eastAsia="仿宋_GB2312" w:cs="Times New Roman"/>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commentRangeEnd w:id="0"/>
      <w:r>
        <w:rPr>
          <w:color w:val="auto"/>
          <w:highlight w:val="none"/>
        </w:rPr>
        <w:commentReference w:id="0"/>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（3）确定指标标准值</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hint="default" w:ascii="Times New Roman" w:hAnsi="Times New Roman" w:eastAsia="仿宋_GB2312" w:cs="Times New Roman"/>
          <w:b w:val="0"/>
          <w:bCs w:val="0"/>
          <w:color w:val="auto"/>
          <w:spacing w:val="17"/>
          <w:kern w:val="2"/>
          <w:highlight w:val="none"/>
        </w:rPr>
      </w:pPr>
      <w:r>
        <w:rPr>
          <w:rFonts w:hint="default" w:ascii="Times New Roman" w:hAnsi="Times New Roman" w:eastAsia="仿宋_GB2312" w:cs="Times New Roman"/>
          <w:b w:val="0"/>
          <w:bCs w:val="0"/>
          <w:color w:val="auto"/>
          <w:spacing w:val="17"/>
          <w:kern w:val="2"/>
          <w:highlight w:val="none"/>
        </w:rPr>
        <w:t>绩效评价总分值100分，根据综合评分结果，90（含）-100分为优、80（含）-90分为良、60（含）-80分为中、60分以下为差。</w:t>
      </w:r>
    </w:p>
    <w:p>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auto"/>
          <w:spacing w:val="17"/>
          <w:highlight w:val="none"/>
        </w:rPr>
      </w:pPr>
      <w:r>
        <w:rPr>
          <w:rFonts w:hint="default" w:ascii="Times New Roman" w:hAnsi="Times New Roman" w:eastAsia="仿宋_GB2312" w:cs="Times New Roman"/>
          <w:b w:val="0"/>
          <w:bCs w:val="0"/>
          <w:color w:val="auto"/>
          <w:spacing w:val="17"/>
          <w:highlight w:val="none"/>
        </w:rPr>
        <w:t>具体评价指标体系详情见附件1</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w:t>
      </w:r>
      <w:r>
        <w:rPr>
          <w:rFonts w:hint="default" w:ascii="Times New Roman" w:hAnsi="Times New Roman" w:eastAsia="仿宋_GB2312" w:cs="Times New Roman"/>
          <w:b w:val="0"/>
          <w:bCs w:val="0"/>
          <w:color w:val="auto"/>
          <w:highlight w:val="none"/>
          <w:lang w:val="en-US" w:eastAsia="zh-CN"/>
        </w:rPr>
        <w:t>.</w:t>
      </w:r>
      <w:r>
        <w:rPr>
          <w:rFonts w:hint="default" w:ascii="Times New Roman" w:hAnsi="Times New Roman" w:eastAsia="仿宋_GB2312" w:cs="Times New Roman"/>
          <w:b w:val="0"/>
          <w:bCs w:val="0"/>
          <w:color w:val="auto"/>
          <w:highlight w:val="none"/>
        </w:rPr>
        <w:t>绩效评价方法</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绩效评价从项目决策、项目过程、项目产出、项目效益四个维度进行评价。评价对象为项目目标实施情况，  评价核心为资金的支出完成情况和项目的产出效益。</w:t>
      </w:r>
    </w:p>
    <w:p>
      <w:pPr>
        <w:pStyle w:val="10"/>
        <w:widowControl w:val="0"/>
        <w:spacing w:before="0" w:after="0" w:line="560" w:lineRule="exact"/>
        <w:ind w:firstLine="708" w:firstLineChars="200"/>
        <w:jc w:val="both"/>
        <w:outlineLvl w:val="9"/>
        <w:rPr>
          <w:rFonts w:hint="eastAsia" w:ascii="Times New Roman" w:hAnsi="Times New Roman" w:eastAsia="仿宋_GB2312" w:cs="Times New Roman"/>
          <w:b w:val="0"/>
          <w:bCs w:val="0"/>
          <w:color w:val="auto"/>
          <w:spacing w:val="17"/>
          <w:kern w:val="2"/>
          <w:sz w:val="32"/>
          <w:szCs w:val="32"/>
          <w:highlight w:val="none"/>
          <w:lang w:val="en-US" w:eastAsia="zh-CN" w:bidi="ar-SA"/>
        </w:rPr>
      </w:pPr>
      <w:r>
        <w:rPr>
          <w:rFonts w:hint="eastAsia" w:ascii="Times New Roman" w:hAnsi="Times New Roman" w:eastAsia="仿宋_GB2312" w:cs="Times New Roman"/>
          <w:b w:val="0"/>
          <w:bCs w:val="0"/>
          <w:color w:val="auto"/>
          <w:spacing w:val="17"/>
          <w:kern w:val="2"/>
          <w:sz w:val="32"/>
          <w:szCs w:val="32"/>
          <w:highlight w:val="none"/>
          <w:lang w:val="en-US" w:eastAsia="zh-CN" w:bidi="ar-SA"/>
        </w:rPr>
        <w:t>本次2024年库尔勒市康都街道办事处部门专项-社区党建工作经费项目支出绩效自评采用公众评判法，原因是：通过公众调查问卷形式更加能准确得知此项目实施的反馈情况，将公众的满意度、体验感作为核心的评价依据，促使资金使用准确有效。</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color w:val="auto"/>
          <w:highlight w:val="none"/>
          <w:lang w:val="en-US" w:eastAsia="zh-CN"/>
        </w:rPr>
        <w:t>计划</w:t>
      </w:r>
      <w:r>
        <w:rPr>
          <w:rFonts w:hint="default" w:ascii="Times New Roman" w:hAnsi="Times New Roman" w:eastAsia="仿宋_GB2312" w:cs="Times New Roman"/>
          <w:b w:val="0"/>
          <w:bCs w:val="0"/>
          <w:color w:val="auto"/>
          <w:highlight w:val="none"/>
        </w:rPr>
        <w:t>标准。</w:t>
      </w:r>
    </w:p>
    <w:p>
      <w:pPr>
        <w:pStyle w:val="10"/>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eastAsia" w:ascii="Times New Roman" w:hAnsi="Times New Roman" w:eastAsia="仿宋_GB2312" w:cs="Times New Roman"/>
          <w:b w:val="0"/>
          <w:bCs w:val="0"/>
          <w:color w:val="auto"/>
          <w:highlight w:val="none"/>
        </w:rPr>
        <w:t>本次</w:t>
      </w:r>
      <w:r>
        <w:rPr>
          <w:rFonts w:hint="eastAsia" w:ascii="Times New Roman" w:hAnsi="Times New Roman" w:eastAsia="仿宋_GB2312" w:cs="Times New Roman"/>
          <w:b w:val="0"/>
          <w:bCs w:val="0"/>
          <w:color w:val="auto"/>
          <w:highlight w:val="none"/>
          <w:lang w:val="en-US" w:eastAsia="zh-CN"/>
        </w:rPr>
        <w:t>2024年库尔勒市康都街道办事处部门专项-社区党建工作经费</w:t>
      </w:r>
      <w:r>
        <w:rPr>
          <w:rFonts w:hint="eastAsia" w:ascii="Times New Roman" w:hAnsi="Times New Roman" w:eastAsia="仿宋_GB2312" w:cs="Times New Roman"/>
          <w:b w:val="0"/>
          <w:bCs w:val="0"/>
          <w:color w:val="auto"/>
          <w:highlight w:val="none"/>
        </w:rPr>
        <w:t>项目</w:t>
      </w:r>
      <w:r>
        <w:rPr>
          <w:rFonts w:hint="eastAsia" w:ascii="Times New Roman" w:hAnsi="Times New Roman" w:eastAsia="仿宋_GB2312" w:cs="Times New Roman"/>
          <w:b w:val="0"/>
          <w:bCs w:val="0"/>
          <w:color w:val="auto"/>
          <w:highlight w:val="none"/>
          <w:lang w:val="en-US" w:eastAsia="zh-CN"/>
        </w:rPr>
        <w:t>评价主要采用了计划标准。原因是：采用计划标准是对项目支出绩效自评一种有力监督工具，体现事前制定的项目预算、定额等指标的严肃性，使决策者能够把精力集中在对项目价值最关键的决策上，确保项目支出的实施和目标的实现。</w:t>
      </w:r>
    </w:p>
    <w:p>
      <w:pPr>
        <w:pStyle w:val="10"/>
        <w:numPr>
          <w:ilvl w:val="0"/>
          <w:numId w:val="3"/>
        </w:numPr>
        <w:spacing w:before="0" w:after="0" w:line="560" w:lineRule="exact"/>
        <w:ind w:firstLine="711" w:firstLineChars="200"/>
        <w:jc w:val="both"/>
        <w:rPr>
          <w:rFonts w:hint="default" w:ascii="Times New Roman" w:hAnsi="Times New Roman" w:eastAsia="楷体" w:cs="Times New Roman"/>
          <w:color w:val="auto"/>
          <w:spacing w:val="17"/>
          <w:highlight w:val="none"/>
        </w:rPr>
      </w:pPr>
      <w:r>
        <w:rPr>
          <w:rFonts w:hint="default" w:ascii="Times New Roman" w:hAnsi="Times New Roman" w:eastAsia="楷体" w:cs="Times New Roman"/>
          <w:color w:val="auto"/>
          <w:spacing w:val="17"/>
          <w:highlight w:val="none"/>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在项目绩效评价工作启动之初，成立了专门的评价工作小组，小组成员</w:t>
      </w:r>
      <w:r>
        <w:rPr>
          <w:rFonts w:hint="eastAsia" w:eastAsia="仿宋_GB2312" w:cs="Times New Roman"/>
          <w:color w:val="auto"/>
          <w:sz w:val="32"/>
          <w:szCs w:val="32"/>
          <w:highlight w:val="none"/>
          <w:lang w:val="en-US" w:eastAsia="zh-CN"/>
        </w:rPr>
        <w:t>包括：财务分管领导王邓臻和财务室工作人员田红霞、杜晨辉及各科室干部组成，</w:t>
      </w:r>
      <w:r>
        <w:rPr>
          <w:rFonts w:hint="default" w:ascii="Times New Roman" w:hAnsi="Times New Roman" w:eastAsia="仿宋_GB2312" w:cs="Times New Roman"/>
          <w:color w:val="auto"/>
          <w:sz w:val="32"/>
          <w:szCs w:val="32"/>
          <w:highlight w:val="none"/>
        </w:rPr>
        <w:t>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清晰阐述</w:t>
      </w:r>
      <w:r>
        <w:rPr>
          <w:rFonts w:hint="default" w:ascii="Times New Roman" w:hAnsi="Times New Roman" w:eastAsia="仿宋_GB2312" w:cs="Times New Roman"/>
          <w:color w:val="auto"/>
          <w:sz w:val="32"/>
          <w:szCs w:val="32"/>
          <w:highlight w:val="none"/>
          <w:lang w:eastAsia="zh-CN"/>
        </w:rPr>
        <w:t>项目</w:t>
      </w:r>
      <w:r>
        <w:rPr>
          <w:rFonts w:hint="eastAsia" w:eastAsia="仿宋_GB2312" w:cs="Times New Roman"/>
          <w:color w:val="auto"/>
          <w:sz w:val="32"/>
          <w:szCs w:val="32"/>
          <w:highlight w:val="none"/>
          <w:lang w:val="en-US" w:eastAsia="zh-CN"/>
        </w:rPr>
        <w:t>目的</w:t>
      </w:r>
      <w:r>
        <w:rPr>
          <w:rFonts w:hint="default" w:ascii="Times New Roman" w:hAnsi="Times New Roman"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为后续指标设计提供方向指引。</w:t>
      </w:r>
      <w:r>
        <w:rPr>
          <w:rFonts w:hint="default" w:ascii="Times New Roman" w:hAnsi="Times New Roman" w:eastAsia="仿宋_GB2312" w:cs="Times New Roman"/>
          <w:color w:val="auto"/>
          <w:sz w:val="32"/>
          <w:szCs w:val="32"/>
          <w:highlight w:val="none"/>
          <w:lang w:eastAsia="zh-CN"/>
        </w:rPr>
        <w:t>该指标体系涵盖了</w:t>
      </w:r>
      <w:r>
        <w:rPr>
          <w:rFonts w:hint="default" w:ascii="Times New Roman" w:hAnsi="Times New Roman" w:eastAsia="仿宋_GB2312" w:cs="Times New Roman"/>
          <w:color w:val="auto"/>
          <w:spacing w:val="17"/>
          <w:sz w:val="32"/>
          <w:szCs w:val="32"/>
          <w:highlight w:val="none"/>
        </w:rPr>
        <w:t>项目决策、项目过程、项目产出、项目效益四个维度</w:t>
      </w:r>
      <w:r>
        <w:rPr>
          <w:rFonts w:hint="default" w:ascii="Times New Roman" w:hAnsi="Times New Roman" w:eastAsia="仿宋_GB2312" w:cs="Times New Roman"/>
          <w:color w:val="auto"/>
          <w:sz w:val="32"/>
          <w:szCs w:val="32"/>
          <w:highlight w:val="none"/>
          <w:lang w:eastAsia="zh-CN"/>
        </w:rPr>
        <w:t>，选取了具有代表性和可衡量性的关键指标，</w:t>
      </w:r>
      <w:r>
        <w:rPr>
          <w:rFonts w:hint="eastAsia" w:eastAsia="仿宋_GB2312" w:cs="Times New Roman"/>
          <w:color w:val="auto"/>
          <w:sz w:val="32"/>
          <w:szCs w:val="32"/>
          <w:highlight w:val="none"/>
          <w:lang w:val="en-US" w:eastAsia="zh-CN"/>
        </w:rPr>
        <w:t>合理搭配确保全面评估</w:t>
      </w:r>
      <w:r>
        <w:rPr>
          <w:rFonts w:hint="default" w:ascii="Times New Roman" w:hAnsi="Times New Roman"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有效</w:t>
      </w:r>
      <w:r>
        <w:rPr>
          <w:rFonts w:hint="default" w:ascii="Times New Roman" w:hAnsi="Times New Roman" w:eastAsia="仿宋_GB2312" w:cs="Times New Roman"/>
          <w:color w:val="auto"/>
          <w:sz w:val="32"/>
          <w:szCs w:val="32"/>
          <w:highlight w:val="none"/>
          <w:lang w:eastAsia="zh-CN"/>
        </w:rPr>
        <w:t>收集社区党建工作</w:t>
      </w:r>
      <w:r>
        <w:rPr>
          <w:rFonts w:hint="eastAsia" w:eastAsia="仿宋_GB2312" w:cs="Times New Roman"/>
          <w:color w:val="auto"/>
          <w:sz w:val="32"/>
          <w:szCs w:val="32"/>
          <w:highlight w:val="none"/>
          <w:lang w:val="en-US" w:eastAsia="zh-CN"/>
        </w:rPr>
        <w:t>的</w:t>
      </w:r>
      <w:r>
        <w:rPr>
          <w:rFonts w:hint="default" w:ascii="Times New Roman" w:hAnsi="Times New Roman" w:eastAsia="仿宋_GB2312" w:cs="Times New Roman"/>
          <w:color w:val="auto"/>
          <w:sz w:val="32"/>
          <w:szCs w:val="32"/>
          <w:highlight w:val="none"/>
          <w:lang w:eastAsia="zh-CN"/>
        </w:rPr>
        <w:t>相关数据，包括财务报表、</w:t>
      </w:r>
      <w:r>
        <w:rPr>
          <w:rFonts w:hint="eastAsia" w:eastAsia="仿宋_GB2312" w:cs="Times New Roman"/>
          <w:color w:val="auto"/>
          <w:sz w:val="32"/>
          <w:szCs w:val="32"/>
          <w:highlight w:val="none"/>
          <w:lang w:val="en-US" w:eastAsia="zh-CN"/>
        </w:rPr>
        <w:t>问卷调查、国库集中支付凭证等</w:t>
      </w:r>
      <w:r>
        <w:rPr>
          <w:rFonts w:hint="default" w:ascii="Times New Roman" w:hAnsi="Times New Roman" w:eastAsia="仿宋_GB2312" w:cs="Times New Roman"/>
          <w:color w:val="auto"/>
          <w:sz w:val="32"/>
          <w:szCs w:val="32"/>
          <w:highlight w:val="none"/>
          <w:lang w:eastAsia="zh-CN"/>
        </w:rPr>
        <w:t>。在数据收集过程中，注重数据的</w:t>
      </w:r>
      <w:r>
        <w:rPr>
          <w:rFonts w:hint="eastAsia" w:eastAsia="仿宋_GB2312" w:cs="Times New Roman"/>
          <w:color w:val="auto"/>
          <w:sz w:val="32"/>
          <w:szCs w:val="32"/>
          <w:highlight w:val="none"/>
          <w:lang w:val="en-US" w:eastAsia="zh-CN"/>
        </w:rPr>
        <w:t>真实性</w:t>
      </w:r>
      <w:r>
        <w:rPr>
          <w:rFonts w:hint="default" w:ascii="Times New Roman" w:hAnsi="Times New Roman" w:eastAsia="仿宋_GB2312" w:cs="Times New Roman"/>
          <w:color w:val="auto"/>
          <w:sz w:val="32"/>
          <w:szCs w:val="32"/>
          <w:highlight w:val="none"/>
          <w:lang w:eastAsia="zh-CN"/>
        </w:rPr>
        <w:t>与完整性，对收集到的数据进行了系统的整理与分类，为后续的数据分析提供了有力支持。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对收集到的数据进行了深入</w:t>
      </w:r>
      <w:r>
        <w:rPr>
          <w:rFonts w:hint="eastAsia" w:eastAsia="仿宋_GB2312" w:cs="Times New Roman"/>
          <w:color w:val="auto"/>
          <w:sz w:val="32"/>
          <w:szCs w:val="32"/>
          <w:highlight w:val="none"/>
          <w:lang w:val="en-US" w:eastAsia="zh-CN"/>
        </w:rPr>
        <w:t>挖掘、</w:t>
      </w:r>
      <w:r>
        <w:rPr>
          <w:rFonts w:hint="default" w:ascii="Times New Roman" w:hAnsi="Times New Roman" w:eastAsia="仿宋_GB2312" w:cs="Times New Roman"/>
          <w:color w:val="auto"/>
          <w:sz w:val="32"/>
          <w:szCs w:val="32"/>
          <w:highlight w:val="none"/>
          <w:lang w:eastAsia="zh-CN"/>
        </w:rPr>
        <w:t>分析。通过对各项绩效指标的实际完成情况与预期目标进行对比，</w:t>
      </w:r>
      <w:r>
        <w:rPr>
          <w:rFonts w:hint="eastAsia" w:eastAsia="仿宋_GB2312" w:cs="Times New Roman"/>
          <w:color w:val="auto"/>
          <w:sz w:val="32"/>
          <w:szCs w:val="32"/>
          <w:highlight w:val="none"/>
          <w:lang w:val="en-US" w:eastAsia="zh-CN"/>
        </w:rPr>
        <w:t>通过数据分析揭示项目绩效状况和存在的问题</w:t>
      </w:r>
      <w:r>
        <w:rPr>
          <w:rFonts w:hint="default" w:ascii="Times New Roman" w:hAnsi="Times New Roman" w:eastAsia="仿宋_GB2312" w:cs="Times New Roman"/>
          <w:color w:val="auto"/>
          <w:sz w:val="32"/>
          <w:szCs w:val="32"/>
          <w:highlight w:val="none"/>
          <w:lang w:eastAsia="zh-CN"/>
        </w:rPr>
        <w:t>，注重数据之间的关联性，深入剖析项目绩效背后的原因，为提出有针对性的改进建议提供了依据。部门专项-社区党建工作经费</w:t>
      </w:r>
      <w:r>
        <w:rPr>
          <w:rFonts w:hint="eastAsia" w:ascii="Times New Roman" w:hAnsi="Times New Roman" w:eastAsia="仿宋_GB2312" w:cs="Times New Roman"/>
          <w:color w:val="auto"/>
          <w:sz w:val="32"/>
          <w:szCs w:val="32"/>
          <w:highlight w:val="none"/>
          <w:lang w:eastAsia="zh-CN"/>
        </w:rPr>
        <w:t>项目</w:t>
      </w:r>
      <w:r>
        <w:rPr>
          <w:rFonts w:hint="default" w:ascii="Times New Roman" w:hAnsi="Times New Roman" w:eastAsia="仿宋_GB2312" w:cs="Times New Roman"/>
          <w:color w:val="auto"/>
          <w:sz w:val="32"/>
          <w:szCs w:val="32"/>
          <w:highlight w:val="none"/>
          <w:lang w:eastAsia="zh-CN"/>
        </w:rPr>
        <w:t>在绩效评价中表现出色，达到了项目的预期目标，并在多个方面取得了显著的成效。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根据数据分析与评估的结果，按照统一的格式和规范撰写项目预算绩效评价报告。报告内容包括项目背景、评价目的、评价指标体系、绩效评价结果、存在问题与改进建议等多个部分，力求条理清晰、重点突出、语言简洁明了。</w:t>
      </w:r>
      <w:r>
        <w:rPr>
          <w:rFonts w:hint="eastAsia" w:eastAsia="仿宋_GB2312" w:cs="Times New Roman"/>
          <w:color w:val="auto"/>
          <w:sz w:val="32"/>
          <w:szCs w:val="32"/>
          <w:highlight w:val="none"/>
          <w:lang w:val="en-US" w:eastAsia="zh-CN"/>
        </w:rPr>
        <w:t>在报告撰写完成后，及时向项目实施主体及相关利益相关者进行反馈，通过规范的报告撰写与高效的反馈机制，既能系统的展示项目价值，又能推动经验沉淀与能力迭代，实现项目全周期管理的良性循环。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在评价报告提交后，我们将持续跟踪项目的改进措施落实情况，定期对项目绩效进行复查与评估，优化</w:t>
      </w:r>
      <w:r>
        <w:rPr>
          <w:rFonts w:hint="eastAsia" w:eastAsia="仿宋_GB2312" w:cs="Times New Roman"/>
          <w:color w:val="auto"/>
          <w:sz w:val="32"/>
          <w:szCs w:val="32"/>
          <w:highlight w:val="none"/>
          <w:lang w:val="en-US" w:eastAsia="zh-CN"/>
        </w:rPr>
        <w:t>反馈机制本身的效率与覆盖面</w:t>
      </w:r>
      <w:r>
        <w:rPr>
          <w:rFonts w:hint="default" w:ascii="Times New Roman" w:hAnsi="Times New Roman" w:eastAsia="仿宋_GB2312" w:cs="Times New Roman"/>
          <w:color w:val="auto"/>
          <w:sz w:val="32"/>
          <w:szCs w:val="32"/>
          <w:highlight w:val="none"/>
          <w:lang w:eastAsia="zh-CN"/>
        </w:rPr>
        <w:t>，实现绩效的持续提升。</w:t>
      </w:r>
      <w:r>
        <w:rPr>
          <w:rFonts w:hint="eastAsia" w:eastAsia="仿宋_GB2312" w:cs="Times New Roman"/>
          <w:color w:val="auto"/>
          <w:sz w:val="32"/>
          <w:szCs w:val="32"/>
          <w:highlight w:val="none"/>
          <w:lang w:val="en-US" w:eastAsia="zh-CN"/>
        </w:rPr>
        <w:t>同时，根据项目实施过程中出现的新情况、新问题，适时调整绩效评价指标体系与方法，保持评价工作的适应性与前瞻性，为项目的长期稳定发展提供有力保障。</w:t>
      </w:r>
    </w:p>
    <w:p>
      <w:pPr>
        <w:numPr>
          <w:ilvl w:val="0"/>
          <w:numId w:val="4"/>
        </w:num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综合评价情况及评价结论（附相关评分表）</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highlight w:val="none"/>
          <w:lang w:val="en-US" w:eastAsia="zh-CN"/>
        </w:rPr>
      </w:pP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一</w:t>
      </w: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评价情况</w:t>
      </w:r>
    </w:p>
    <w:p>
      <w:pPr>
        <w:spacing w:line="700" w:lineRule="exact"/>
        <w:ind w:firstLine="640" w:firstLineChars="200"/>
        <w:jc w:val="left"/>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kern w:val="0"/>
          <w:sz w:val="36"/>
          <w:szCs w:val="36"/>
          <w:highlight w:val="none"/>
        </w:rPr>
        <w:t>部门专项-社区党建工作经费</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rPr>
        <w:t>项目过程、项目产出</w:t>
      </w:r>
      <w:r>
        <w:rPr>
          <w:rFonts w:hint="default" w:ascii="Times New Roman" w:hAnsi="Times New Roman" w:eastAsia="仿宋_GB2312" w:cs="Times New Roman"/>
          <w:color w:val="auto"/>
          <w:sz w:val="32"/>
          <w:szCs w:val="32"/>
          <w:highlight w:val="none"/>
        </w:rPr>
        <w:t>等方面表现出色，达到了预期的标准与要求。同时，项目也在</w:t>
      </w:r>
      <w:r>
        <w:rPr>
          <w:rFonts w:hint="eastAsia" w:ascii="Times New Roman" w:hAnsi="Times New Roman" w:eastAsia="仿宋_GB2312" w:cs="Times New Roman"/>
          <w:color w:val="auto"/>
          <w:sz w:val="32"/>
          <w:szCs w:val="32"/>
          <w:highlight w:val="none"/>
        </w:rPr>
        <w:t>党员教育管理与社区服务融合</w:t>
      </w:r>
      <w:r>
        <w:rPr>
          <w:rFonts w:hint="default" w:ascii="Times New Roman" w:hAnsi="Times New Roman" w:eastAsia="仿宋_GB2312" w:cs="Times New Roman"/>
          <w:color w:val="auto"/>
          <w:sz w:val="32"/>
          <w:szCs w:val="32"/>
          <w:highlight w:val="none"/>
        </w:rPr>
        <w:t>取得了显著的成效，如</w:t>
      </w:r>
      <w:r>
        <w:rPr>
          <w:rFonts w:hint="eastAsia" w:ascii="Times New Roman" w:hAnsi="Times New Roman" w:eastAsia="仿宋_GB2312" w:cs="Times New Roman"/>
          <w:color w:val="auto"/>
          <w:sz w:val="32"/>
          <w:szCs w:val="32"/>
          <w:highlight w:val="none"/>
        </w:rPr>
        <w:t>打造了线上线下结合的党员学习教育平台，累计开展线上课程50余次，参与党员达1000余人次；组织党员志愿服务队开展社区环境卫生整治、关爱孤寡老人等活动30余次，受益群众达500余人</w:t>
      </w:r>
      <w:r>
        <w:rPr>
          <w:rFonts w:hint="default" w:ascii="Times New Roman" w:hAnsi="Times New Roman" w:eastAsia="仿宋_GB2312" w:cs="Times New Roman"/>
          <w:color w:val="auto"/>
          <w:sz w:val="32"/>
          <w:szCs w:val="32"/>
          <w:highlight w:val="none"/>
        </w:rPr>
        <w:t>等。</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eastAsia="仿宋_GB2312" w:cs="Times New Roman"/>
          <w:color w:val="auto"/>
          <w:sz w:val="32"/>
          <w:szCs w:val="32"/>
          <w:highlight w:val="none"/>
          <w:lang w:val="en-US" w:eastAsia="zh-CN"/>
        </w:rPr>
        <w:t>康都街道</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从项目效益的角度来看，本项目不仅实现了预期的社会效益等方面产生了积极的影响。具体而言，</w:t>
      </w:r>
      <w:r>
        <w:rPr>
          <w:rFonts w:hint="eastAsia" w:ascii="Times New Roman" w:hAnsi="Times New Roman" w:eastAsia="仿宋_GB2312" w:cs="Times New Roman"/>
          <w:color w:val="auto"/>
          <w:sz w:val="32"/>
          <w:szCs w:val="32"/>
          <w:highlight w:val="none"/>
        </w:rPr>
        <w:t>通过党建引领，建立了居民议事协商机制，成功解决老旧小区停车难、加装电梯等社区治理难题15件；开展各类文化惠民活动20场，居民对社区满意度从70%提升至85%</w:t>
      </w:r>
      <w:r>
        <w:rPr>
          <w:rFonts w:hint="default" w:ascii="Times New Roman" w:hAnsi="Times New Roman" w:eastAsia="仿宋_GB2312" w:cs="Times New Roman"/>
          <w:color w:val="auto"/>
          <w:sz w:val="32"/>
          <w:szCs w:val="32"/>
          <w:highlight w:val="none"/>
        </w:rPr>
        <w:t>]等方面的提升，为项目的利益相关者带来了实实在在的利益。</w:t>
      </w:r>
    </w:p>
    <w:p>
      <w:pPr>
        <w:spacing w:line="700" w:lineRule="exact"/>
        <w:ind w:firstLine="640" w:firstLineChars="200"/>
        <w:jc w:val="left"/>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default" w:ascii="Times New Roman" w:hAnsi="Times New Roman" w:eastAsia="仿宋_GB2312" w:cs="Times New Roman"/>
          <w:color w:val="auto"/>
          <w:kern w:val="0"/>
          <w:sz w:val="36"/>
          <w:szCs w:val="36"/>
          <w:highlight w:val="none"/>
        </w:rPr>
        <w:t>部门专项-社区党建工作经费</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highlight w:val="none"/>
          <w:lang w:val="en-US" w:eastAsia="zh-CN"/>
        </w:rPr>
      </w:pP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二</w:t>
      </w: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评价结论</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 xml:space="preserve">分，属于“优（良/中/差）”。其中，项目决策类指标权重为20分，得分为 </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w:t>
      </w:r>
      <w:commentRangeStart w:id="1"/>
      <w:r>
        <w:rPr>
          <w:rFonts w:hint="default" w:ascii="Times New Roman" w:hAnsi="Times New Roman" w:eastAsia="仿宋_GB2312" w:cs="Times New Roman"/>
          <w:b w:val="0"/>
          <w:bCs w:val="0"/>
          <w:color w:val="auto"/>
          <w:highlight w:val="none"/>
        </w:rPr>
        <w:t>得分率</w:t>
      </w:r>
      <w:commentRangeEnd w:id="1"/>
      <w:r>
        <w:rPr>
          <w:rFonts w:hint="default" w:ascii="Times New Roman" w:hAnsi="Times New Roman" w:cs="Times New Roman"/>
          <w:color w:val="auto"/>
          <w:highlight w:val="none"/>
        </w:rPr>
        <w:commentReference w:id="1"/>
      </w:r>
      <w:r>
        <w:rPr>
          <w:rFonts w:hint="default" w:ascii="Times New Roman" w:hAnsi="Times New Roman" w:eastAsia="仿宋_GB2312" w:cs="Times New Roman"/>
          <w:b w:val="0"/>
          <w:bCs w:val="0"/>
          <w:color w:val="auto"/>
          <w:highlight w:val="none"/>
        </w:rPr>
        <w:t xml:space="preserve">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%。项目过程类指标权重为20分，得分为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 xml:space="preserve">分，得分率为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%。项目产出类指标权重为40分，得分为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 xml:space="preserve">分，得分率为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%。项目效益类指标权重为20分，得分为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%。具体打分情况详见：附件1综合评分表</w:t>
      </w:r>
      <w:r>
        <w:rPr>
          <w:rFonts w:hint="default" w:ascii="Times New Roman" w:hAnsi="Times New Roman" w:eastAsia="仿宋_GB2312" w:cs="Times New Roman"/>
          <w:b w:val="0"/>
          <w:bCs w:val="0"/>
          <w:color w:val="auto"/>
          <w:highlight w:val="none"/>
          <w:lang w:eastAsia="zh-CN"/>
        </w:rPr>
        <w:t>。</w:t>
      </w: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highlight w:val="none"/>
                <w:lang w:val="en-US" w:eastAsia="zh-CN"/>
              </w:rPr>
            </w:pPr>
            <w:r>
              <w:rPr>
                <w:rFonts w:hint="default" w:ascii="Times New Roman" w:hAnsi="Times New Roman" w:eastAsia="仿宋_GB2312" w:cs="Times New Roman"/>
                <w:b/>
                <w:bCs/>
                <w:color w:val="auto"/>
                <w:sz w:val="21"/>
                <w:szCs w:val="21"/>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100</w:t>
            </w:r>
          </w:p>
        </w:tc>
      </w:tr>
    </w:tbl>
    <w:p>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四、绩效评价指标分析</w:t>
      </w:r>
    </w:p>
    <w:p>
      <w:pPr>
        <w:pStyle w:val="10"/>
        <w:spacing w:before="0" w:after="0" w:line="560" w:lineRule="exact"/>
        <w:ind w:firstLine="643" w:firstLineChars="200"/>
        <w:jc w:val="both"/>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（一）项目决策情况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该项目立项符合</w:t>
      </w:r>
      <w:r>
        <w:rPr>
          <w:rFonts w:hint="eastAsia" w:eastAsia="仿宋_GB2312" w:cs="Times New Roman"/>
          <w:color w:val="auto"/>
          <w:sz w:val="32"/>
          <w:szCs w:val="32"/>
          <w:highlight w:val="none"/>
          <w:lang w:val="en-US" w:eastAsia="zh-CN"/>
        </w:rPr>
        <w:t>《关于村组（社区、网格）运行经费和FHJ驻村工作队为民办实事经费使用的工作提示》，符合</w:t>
      </w:r>
      <w:r>
        <w:rPr>
          <w:rFonts w:hint="default" w:ascii="Times New Roman" w:hAnsi="Times New Roman" w:eastAsia="仿宋_GB2312" w:cs="Times New Roman"/>
          <w:color w:val="auto"/>
          <w:sz w:val="32"/>
          <w:szCs w:val="32"/>
          <w:highlight w:val="none"/>
          <w:lang w:val="en-US" w:eastAsia="zh-CN"/>
        </w:rPr>
        <w:t>国家相关法律法规及发展政策，符合行业规划要求，围绕本年度工作重点和工作计划制定经费预算，属于公共财政支持范围。</w:t>
      </w:r>
      <w:r>
        <w:rPr>
          <w:rFonts w:hint="eastAsia" w:eastAsia="仿宋_GB2312" w:cs="Times New Roman"/>
          <w:color w:val="auto"/>
          <w:sz w:val="32"/>
          <w:szCs w:val="32"/>
          <w:highlight w:val="none"/>
          <w:lang w:val="en-US" w:eastAsia="zh-CN"/>
        </w:rPr>
        <w:t>部门专项-社区党建工作经费项目</w:t>
      </w:r>
      <w:r>
        <w:rPr>
          <w:rFonts w:hint="default" w:ascii="Times New Roman" w:hAnsi="Times New Roman" w:eastAsia="仿宋_GB2312" w:cs="Times New Roman"/>
          <w:color w:val="auto"/>
          <w:sz w:val="32"/>
          <w:szCs w:val="32"/>
          <w:highlight w:val="none"/>
          <w:lang w:val="en-US" w:eastAsia="zh-CN"/>
        </w:rPr>
        <w:t>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项目申请、设立过程符合相关要求，</w:t>
      </w:r>
      <w:r>
        <w:rPr>
          <w:rFonts w:hint="default" w:ascii="Times New Roman" w:hAnsi="Times New Roman" w:eastAsia="仿宋_GB2312" w:cs="Times New Roman"/>
          <w:color w:val="auto"/>
          <w:sz w:val="32"/>
          <w:szCs w:val="32"/>
          <w:highlight w:val="none"/>
          <w:lang w:eastAsia="zh-Hans"/>
        </w:rPr>
        <w:t>严格按照审批流程准备；</w:t>
      </w:r>
      <w:r>
        <w:rPr>
          <w:rFonts w:hint="default" w:ascii="Times New Roman" w:hAnsi="Times New Roman" w:eastAsia="仿宋_GB2312" w:cs="Times New Roman"/>
          <w:color w:val="auto"/>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绩效评估、集体决策，保障了程序的规范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Hans"/>
        </w:rPr>
        <w:t>年初结合实际工作内容</w:t>
      </w:r>
      <w:r>
        <w:rPr>
          <w:rFonts w:hint="default" w:ascii="Times New Roman" w:hAnsi="Times New Roman" w:eastAsia="仿宋_GB2312" w:cs="Times New Roman"/>
          <w:color w:val="auto"/>
          <w:sz w:val="32"/>
          <w:szCs w:val="32"/>
          <w:highlight w:val="none"/>
          <w:lang w:val="en-US" w:eastAsia="zh-CN"/>
        </w:rPr>
        <w:t>设定绩效目标</w:t>
      </w:r>
      <w:r>
        <w:rPr>
          <w:rFonts w:hint="default" w:ascii="Times New Roman" w:hAnsi="Times New Roman" w:eastAsia="仿宋_GB2312" w:cs="Times New Roman"/>
          <w:color w:val="auto"/>
          <w:sz w:val="32"/>
          <w:szCs w:val="32"/>
          <w:highlight w:val="none"/>
          <w:lang w:val="en-US" w:eastAsia="zh-Hans"/>
        </w:rPr>
        <w:t>，绩效目标</w:t>
      </w:r>
      <w:r>
        <w:rPr>
          <w:rFonts w:hint="default" w:ascii="Times New Roman" w:hAnsi="Times New Roman" w:eastAsia="仿宋_GB2312" w:cs="Times New Roman"/>
          <w:color w:val="auto"/>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lang w:eastAsia="zh-CN"/>
        </w:rPr>
        <w:t>的预算编制过程严谨、科学，充分体现了精细化管理的要求。预算编制之初，进行了全面的成本估算，</w:t>
      </w:r>
      <w:r>
        <w:rPr>
          <w:rFonts w:hint="eastAsia" w:eastAsia="仿宋_GB2312" w:cs="Times New Roman"/>
          <w:color w:val="auto"/>
          <w:sz w:val="32"/>
          <w:szCs w:val="32"/>
          <w:highlight w:val="none"/>
          <w:lang w:eastAsia="zh-CN"/>
        </w:rPr>
        <w:t>按管辖社区数量，</w:t>
      </w:r>
      <w:r>
        <w:rPr>
          <w:rFonts w:hint="eastAsia" w:eastAsia="仿宋_GB2312" w:cs="Times New Roman"/>
          <w:color w:val="auto"/>
          <w:sz w:val="32"/>
          <w:szCs w:val="32"/>
          <w:highlight w:val="none"/>
          <w:lang w:val="en-US" w:eastAsia="zh-CN"/>
        </w:rPr>
        <w:t>5个</w:t>
      </w:r>
      <w:r>
        <w:rPr>
          <w:rFonts w:hint="eastAsia" w:eastAsia="仿宋_GB2312" w:cs="Times New Roman"/>
          <w:color w:val="auto"/>
          <w:sz w:val="32"/>
          <w:szCs w:val="32"/>
          <w:highlight w:val="none"/>
          <w:lang w:eastAsia="zh-CN"/>
        </w:rPr>
        <w:t>社区每年</w:t>
      </w:r>
      <w:r>
        <w:rPr>
          <w:rFonts w:hint="eastAsia" w:eastAsia="仿宋_GB2312" w:cs="Times New Roman"/>
          <w:color w:val="auto"/>
          <w:sz w:val="32"/>
          <w:szCs w:val="32"/>
          <w:highlight w:val="none"/>
          <w:lang w:val="en-US" w:eastAsia="zh-CN"/>
        </w:rPr>
        <w:t>13.22万元，</w:t>
      </w:r>
      <w:r>
        <w:rPr>
          <w:rFonts w:hint="default" w:ascii="Times New Roman" w:hAnsi="Times New Roman" w:eastAsia="仿宋_GB2312" w:cs="Times New Roman"/>
          <w:color w:val="auto"/>
          <w:sz w:val="32"/>
          <w:szCs w:val="32"/>
          <w:highlight w:val="none"/>
          <w:lang w:eastAsia="zh-CN"/>
        </w:rPr>
        <w:t>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在预算编制过程中，</w:t>
      </w:r>
      <w:r>
        <w:rPr>
          <w:rFonts w:hint="default" w:ascii="Times New Roman" w:hAnsi="Times New Roman" w:eastAsia="仿宋_GB2312" w:cs="Times New Roman"/>
          <w:color w:val="auto"/>
          <w:sz w:val="32"/>
          <w:szCs w:val="32"/>
          <w:highlight w:val="none"/>
          <w:lang w:val="en-US" w:eastAsia="zh-CN"/>
        </w:rPr>
        <w:t>还</w:t>
      </w:r>
      <w:r>
        <w:rPr>
          <w:rFonts w:hint="default" w:ascii="Times New Roman" w:hAnsi="Times New Roman" w:eastAsia="仿宋_GB2312" w:cs="Times New Roman"/>
          <w:color w:val="auto"/>
          <w:sz w:val="32"/>
          <w:szCs w:val="32"/>
          <w:highlight w:val="none"/>
          <w:lang w:eastAsia="zh-CN"/>
        </w:rPr>
        <w:t>注重了成本控制与效益最大化的原则。通过</w:t>
      </w:r>
      <w:r>
        <w:rPr>
          <w:rFonts w:hint="eastAsia" w:eastAsia="仿宋_GB2312" w:cs="Times New Roman"/>
          <w:color w:val="auto"/>
          <w:sz w:val="32"/>
          <w:szCs w:val="32"/>
          <w:highlight w:val="none"/>
          <w:lang w:eastAsia="zh-CN"/>
        </w:rPr>
        <w:t>对绿园社区进行</w:t>
      </w:r>
      <w:r>
        <w:rPr>
          <w:rFonts w:hint="default" w:ascii="Times New Roman" w:hAnsi="Times New Roman" w:eastAsia="仿宋_GB2312" w:cs="Times New Roman"/>
          <w:color w:val="auto"/>
          <w:sz w:val="32"/>
          <w:szCs w:val="32"/>
          <w:highlight w:val="none"/>
          <w:lang w:eastAsia="zh-CN"/>
        </w:rPr>
        <w:t>优化资源配置、提高资金使用效率等措施，确保项目在有限的预算内取得最大的经济效益与社会效益。此外，预算编制还充分考虑了风险因素，对</w:t>
      </w:r>
      <w:bookmarkStart w:id="0" w:name="OLE_LINK5"/>
      <w:r>
        <w:rPr>
          <w:rFonts w:hint="default" w:ascii="Times New Roman" w:hAnsi="Times New Roman" w:eastAsia="仿宋_GB2312" w:cs="Times New Roman"/>
          <w:color w:val="auto"/>
          <w:sz w:val="32"/>
          <w:szCs w:val="32"/>
          <w:highlight w:val="none"/>
          <w:lang w:eastAsia="zh-CN"/>
        </w:rPr>
        <w:t>可能出现的超支情况</w:t>
      </w:r>
      <w:bookmarkEnd w:id="0"/>
      <w:r>
        <w:rPr>
          <w:rFonts w:hint="default" w:ascii="Times New Roman" w:hAnsi="Times New Roman" w:eastAsia="仿宋_GB2312" w:cs="Times New Roman"/>
          <w:color w:val="auto"/>
          <w:sz w:val="32"/>
          <w:szCs w:val="32"/>
          <w:highlight w:val="none"/>
          <w:lang w:eastAsia="zh-CN"/>
        </w:rPr>
        <w:t>进行了</w:t>
      </w:r>
      <w:r>
        <w:rPr>
          <w:rFonts w:hint="eastAsia" w:eastAsia="仿宋_GB2312" w:cs="Times New Roman"/>
          <w:color w:val="auto"/>
          <w:sz w:val="32"/>
          <w:szCs w:val="32"/>
          <w:highlight w:val="none"/>
          <w:lang w:eastAsia="zh-CN"/>
        </w:rPr>
        <w:t>提前</w:t>
      </w:r>
      <w:r>
        <w:rPr>
          <w:rFonts w:hint="default" w:ascii="Times New Roman" w:hAnsi="Times New Roman" w:eastAsia="仿宋_GB2312" w:cs="Times New Roman"/>
          <w:color w:val="auto"/>
          <w:sz w:val="32"/>
          <w:szCs w:val="32"/>
          <w:highlight w:val="none"/>
          <w:lang w:eastAsia="zh-CN"/>
        </w:rPr>
        <w:t>规划，</w:t>
      </w:r>
      <w:r>
        <w:rPr>
          <w:rFonts w:hint="eastAsia" w:eastAsia="仿宋_GB2312" w:cs="Times New Roman"/>
          <w:color w:val="auto"/>
          <w:sz w:val="32"/>
          <w:szCs w:val="32"/>
          <w:highlight w:val="none"/>
          <w:lang w:eastAsia="zh-CN"/>
        </w:rPr>
        <w:t>在管辖</w:t>
      </w:r>
      <w:r>
        <w:rPr>
          <w:rFonts w:hint="eastAsia" w:eastAsia="仿宋_GB2312" w:cs="Times New Roman"/>
          <w:color w:val="auto"/>
          <w:sz w:val="32"/>
          <w:szCs w:val="32"/>
          <w:highlight w:val="none"/>
          <w:lang w:val="en-US" w:eastAsia="zh-CN"/>
        </w:rPr>
        <w:t>5个社区间进行资源调配，</w:t>
      </w:r>
      <w:r>
        <w:rPr>
          <w:rFonts w:hint="default" w:ascii="Times New Roman" w:hAnsi="Times New Roman" w:eastAsia="仿宋_GB2312" w:cs="Times New Roman"/>
          <w:color w:val="auto"/>
          <w:sz w:val="32"/>
          <w:szCs w:val="32"/>
          <w:highlight w:val="none"/>
          <w:lang w:eastAsia="zh-CN"/>
        </w:rPr>
        <w:t>以</w:t>
      </w:r>
      <w:r>
        <w:rPr>
          <w:rFonts w:hint="eastAsia" w:eastAsia="仿宋_GB2312" w:cs="Times New Roman"/>
          <w:color w:val="auto"/>
          <w:sz w:val="32"/>
          <w:szCs w:val="32"/>
          <w:highlight w:val="none"/>
          <w:lang w:eastAsia="zh-CN"/>
        </w:rPr>
        <w:t>应对</w:t>
      </w:r>
      <w:r>
        <w:rPr>
          <w:rFonts w:hint="default" w:ascii="Times New Roman" w:hAnsi="Times New Roman" w:eastAsia="仿宋_GB2312" w:cs="Times New Roman"/>
          <w:color w:val="auto"/>
          <w:sz w:val="32"/>
          <w:szCs w:val="32"/>
          <w:highlight w:val="none"/>
          <w:lang w:eastAsia="zh-CN"/>
        </w:rPr>
        <w:t>可能出现的超支情况。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lang w:eastAsia="zh-CN"/>
        </w:rPr>
        <w:t>的资金分配</w:t>
      </w:r>
      <w:r>
        <w:rPr>
          <w:rFonts w:hint="eastAsia" w:eastAsia="仿宋_GB2312" w:cs="Times New Roman"/>
          <w:color w:val="auto"/>
          <w:sz w:val="32"/>
          <w:szCs w:val="32"/>
          <w:highlight w:val="none"/>
          <w:lang w:val="en-US" w:eastAsia="zh-CN"/>
        </w:rPr>
        <w:t>的合理性是保障项目顺利实施、实现预期绩效目标的关键</w:t>
      </w:r>
      <w:r>
        <w:rPr>
          <w:rFonts w:hint="default" w:ascii="Times New Roman" w:hAnsi="Times New Roman"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具体而言，资金分配紧密结合了项目的特点与实际情况，对关键领域与重要环节给予了重点支持。同时，我们也注重了资金的均衡分配，避免了资源浪费与资金闲置</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资金分配的过程应当公开透明，确保资金的使用合理性。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w:t>
      </w:r>
      <w:r>
        <w:rPr>
          <w:rFonts w:hint="eastAsia"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lang w:eastAsia="zh-CN"/>
        </w:rPr>
        <w:t>的资金分配是合理的、科学的，既符合项目的实际情况，又满足了资金使用的效益最大化要求。资金分配的合理性为项目的成功实施提供了有力的保障，也为项目的绩效评价奠定了坚实的基础。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此项权重分值为4分，得分为4分。</w:t>
      </w:r>
    </w:p>
    <w:p>
      <w:pPr>
        <w:pStyle w:val="10"/>
        <w:numPr>
          <w:ilvl w:val="0"/>
          <w:numId w:val="5"/>
        </w:numPr>
        <w:spacing w:before="0" w:after="0" w:line="560" w:lineRule="exact"/>
        <w:ind w:firstLine="643" w:firstLineChars="200"/>
        <w:jc w:val="both"/>
        <w:rPr>
          <w:rFonts w:hint="default" w:ascii="Times New Roman" w:hAnsi="Times New Roman" w:eastAsia="楷体" w:cs="Times New Roman"/>
          <w:color w:val="auto"/>
          <w:highlight w:val="none"/>
        </w:rPr>
      </w:pPr>
      <w:r>
        <w:rPr>
          <w:rFonts w:hint="default" w:ascii="Times New Roman" w:hAnsi="Times New Roman" w:eastAsia="楷体" w:cs="Times New Roman"/>
          <w:color w:val="auto"/>
          <w:highlight w:val="none"/>
        </w:rPr>
        <w:t>项目过程情况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本项目总投资</w:t>
      </w:r>
      <w:r>
        <w:rPr>
          <w:rFonts w:hint="eastAsia" w:eastAsia="仿宋_GB2312" w:cs="Times New Roman"/>
          <w:color w:val="auto"/>
          <w:sz w:val="32"/>
          <w:szCs w:val="32"/>
          <w:highlight w:val="none"/>
          <w:lang w:val="en-US" w:eastAsia="zh-CN"/>
        </w:rPr>
        <w:t>66.12</w:t>
      </w:r>
      <w:r>
        <w:rPr>
          <w:rFonts w:hint="default" w:ascii="Times New Roman" w:hAnsi="Times New Roman" w:eastAsia="仿宋_GB2312" w:cs="Times New Roman"/>
          <w:color w:val="auto"/>
          <w:sz w:val="32"/>
          <w:szCs w:val="32"/>
          <w:highlight w:val="none"/>
          <w:lang w:val="en-US" w:eastAsia="zh-CN"/>
        </w:rPr>
        <w:t>万元，财政资金及时足额到位，到位率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预算编制较为详细，项目资金支出总体能够按照预算执行，预算资金支出</w:t>
      </w:r>
      <w:r>
        <w:rPr>
          <w:rFonts w:hint="eastAsia" w:eastAsia="仿宋_GB2312" w:cs="Times New Roman"/>
          <w:color w:val="auto"/>
          <w:sz w:val="32"/>
          <w:szCs w:val="32"/>
          <w:highlight w:val="none"/>
          <w:lang w:val="en-US" w:eastAsia="zh-CN"/>
        </w:rPr>
        <w:t>66.12</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lang w:eastAsia="zh-CN"/>
        </w:rPr>
        <w:t>的资金使用严格遵循了</w:t>
      </w:r>
      <w:r>
        <w:rPr>
          <w:rFonts w:hint="eastAsia" w:eastAsia="仿宋_GB2312" w:cs="Times New Roman"/>
          <w:color w:val="auto"/>
          <w:sz w:val="32"/>
          <w:szCs w:val="32"/>
          <w:highlight w:val="none"/>
          <w:lang w:val="en-US" w:eastAsia="zh-CN"/>
        </w:rPr>
        <w:t>《关于村组（社区、网格）运行经费和FHJ驻村工作队为民办实事经费使用的工作提示》和</w:t>
      </w:r>
      <w:r>
        <w:rPr>
          <w:rFonts w:hint="default" w:ascii="Times New Roman" w:hAnsi="Times New Roman" w:eastAsia="仿宋_GB2312" w:cs="Times New Roman"/>
          <w:color w:val="auto"/>
          <w:sz w:val="32"/>
          <w:szCs w:val="32"/>
          <w:highlight w:val="none"/>
          <w:lang w:eastAsia="zh-CN"/>
        </w:rPr>
        <w:t>国家相关法律法规与财务制度，确保了资金的合规性与安全性。在资金使用过程中，我们建立了</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康都</w:t>
      </w:r>
      <w:r>
        <w:rPr>
          <w:rFonts w:hint="eastAsia" w:eastAsia="仿宋_GB2312" w:cs="Times New Roman"/>
          <w:color w:val="auto"/>
          <w:sz w:val="32"/>
          <w:szCs w:val="32"/>
          <w:highlight w:val="none"/>
          <w:lang w:eastAsia="zh-CN"/>
        </w:rPr>
        <w:t>街道财务管理制度》</w:t>
      </w:r>
      <w:r>
        <w:rPr>
          <w:rFonts w:hint="default" w:ascii="Times New Roman" w:hAnsi="Times New Roman" w:eastAsia="仿宋_GB2312" w:cs="Times New Roman"/>
          <w:color w:val="auto"/>
          <w:sz w:val="32"/>
          <w:szCs w:val="32"/>
          <w:highlight w:val="none"/>
          <w:lang w:eastAsia="zh-CN"/>
        </w:rPr>
        <w:t>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我们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w:t>
      </w:r>
      <w:r>
        <w:rPr>
          <w:rFonts w:hint="eastAsia"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lang w:eastAsia="zh-CN"/>
        </w:rPr>
        <w:t>的资金使用是合规的、安全的，既符合国家法律法规的要求，又满足了项目实施的实际需要。资金使用的合规性为项目的成功实施提供了有力的保障</w:t>
      </w:r>
      <w:r>
        <w:rPr>
          <w:rFonts w:hint="eastAsia"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此项权重分值为4分，得分为4分。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部门专项-社区党建工作经费项目</w:t>
      </w:r>
      <w:r>
        <w:rPr>
          <w:rFonts w:hint="eastAsia" w:eastAsia="仿宋_GB2312" w:cs="Times New Roman"/>
          <w:color w:val="auto"/>
          <w:sz w:val="32"/>
          <w:szCs w:val="32"/>
          <w:highlight w:val="none"/>
          <w:lang w:val="en-US" w:eastAsia="zh-CN"/>
        </w:rPr>
        <w:t>制定了《康都</w:t>
      </w:r>
      <w:r>
        <w:rPr>
          <w:rFonts w:hint="default" w:ascii="Times New Roman" w:hAnsi="Times New Roman" w:eastAsia="仿宋_GB2312" w:cs="Times New Roman"/>
          <w:color w:val="auto"/>
          <w:sz w:val="32"/>
          <w:szCs w:val="32"/>
          <w:highlight w:val="none"/>
          <w:lang w:eastAsia="zh-CN"/>
        </w:rPr>
        <w:t>街道财务管理制度</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体系，为项目的成功实施提供了坚实的制度保障</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突出管理制度对项目的有序推进的支撑作用</w:t>
      </w:r>
      <w:r>
        <w:rPr>
          <w:rFonts w:hint="default" w:ascii="Times New Roman" w:hAnsi="Times New Roman"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在制度设计上，我们注重了制度的科学性</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完整性、执行有效性</w:t>
      </w:r>
      <w:r>
        <w:rPr>
          <w:rFonts w:hint="default" w:ascii="Times New Roman" w:hAnsi="Times New Roman" w:eastAsia="仿宋_GB2312" w:cs="Times New Roman"/>
          <w:color w:val="auto"/>
          <w:sz w:val="32"/>
          <w:szCs w:val="32"/>
          <w:highlight w:val="none"/>
          <w:lang w:eastAsia="zh-CN"/>
        </w:rPr>
        <w:t>，确保制度能够切实指导项目的执行与管理。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此外，管理制度的健全性不仅体现在制度的完善上，还体现在制度的执行与监督上。我们建立了有效的监督机制与反馈机制，对项目的实施情况进行定期检查与评估，及时发现并纠正可能存在的问题。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w:t>
      </w:r>
      <w:r>
        <w:rPr>
          <w:rFonts w:hint="eastAsia"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lang w:eastAsia="zh-CN"/>
        </w:rPr>
        <w:t>的管理制度是健全</w:t>
      </w:r>
      <w:r>
        <w:rPr>
          <w:rFonts w:hint="eastAsia" w:eastAsia="仿宋_GB2312" w:cs="Times New Roman"/>
          <w:color w:val="auto"/>
          <w:sz w:val="32"/>
          <w:szCs w:val="32"/>
          <w:highlight w:val="none"/>
          <w:lang w:val="en-US" w:eastAsia="zh-CN"/>
        </w:rPr>
        <w:t>性，体现管理制度在保障项目规范运行、防范风险、提升效能方面的重要作用，</w:t>
      </w:r>
      <w:r>
        <w:rPr>
          <w:rFonts w:hint="default" w:ascii="Times New Roman" w:hAnsi="Times New Roman" w:eastAsia="仿宋_GB2312" w:cs="Times New Roman"/>
          <w:color w:val="auto"/>
          <w:sz w:val="32"/>
          <w:szCs w:val="32"/>
          <w:highlight w:val="none"/>
          <w:lang w:eastAsia="zh-CN"/>
        </w:rPr>
        <w:t>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lang w:eastAsia="zh-CN"/>
        </w:rPr>
        <w:t>在执行过程中，管理制度得到了全面、有效的落实，为确保项目的顺利实施与目标实现提供了坚实的保障。项目</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在具体执行过程中，</w:t>
      </w:r>
      <w:r>
        <w:rPr>
          <w:rFonts w:hint="eastAsia" w:eastAsia="仿宋_GB2312" w:cs="Times New Roman"/>
          <w:color w:val="auto"/>
          <w:sz w:val="32"/>
          <w:szCs w:val="32"/>
          <w:highlight w:val="none"/>
          <w:lang w:val="en-US" w:eastAsia="zh-CN"/>
        </w:rPr>
        <w:t>选取能体现制度执行效果的量化指标，用数据直接反映执行率与质量。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w:t>
      </w:r>
      <w:r>
        <w:rPr>
          <w:rFonts w:hint="eastAsia"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lang w:eastAsia="zh-CN"/>
        </w:rPr>
        <w:t>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此项权重分值为4分，得分为4分。</w:t>
      </w:r>
    </w:p>
    <w:p>
      <w:pPr>
        <w:pStyle w:val="12"/>
        <w:numPr>
          <w:ilvl w:val="0"/>
          <w:numId w:val="5"/>
        </w:numPr>
        <w:spacing w:line="560" w:lineRule="exact"/>
        <w:ind w:firstLine="643"/>
        <w:rPr>
          <w:rFonts w:hint="default" w:ascii="Times New Roman" w:hAnsi="Times New Roman" w:eastAsia="楷体_GB2312" w:cs="Times New Roman"/>
          <w:b/>
          <w:bCs/>
          <w:color w:val="auto"/>
          <w:sz w:val="32"/>
          <w:szCs w:val="32"/>
          <w:highlight w:val="none"/>
        </w:rPr>
      </w:pPr>
      <w:commentRangeStart w:id="2"/>
      <w:r>
        <w:rPr>
          <w:rFonts w:hint="default" w:ascii="Times New Roman" w:hAnsi="Times New Roman" w:eastAsia="楷体_GB2312" w:cs="Times New Roman"/>
          <w:b/>
          <w:bCs/>
          <w:color w:val="auto"/>
          <w:sz w:val="32"/>
          <w:szCs w:val="32"/>
          <w:highlight w:val="none"/>
        </w:rPr>
        <w:t>项目产出</w:t>
      </w:r>
      <w:commentRangeEnd w:id="2"/>
      <w:r>
        <w:rPr>
          <w:rFonts w:hint="default" w:ascii="Times New Roman" w:hAnsi="Times New Roman" w:cs="Times New Roman"/>
          <w:color w:val="auto"/>
          <w:highlight w:val="none"/>
        </w:rPr>
        <w:commentReference w:id="2"/>
      </w:r>
      <w:r>
        <w:rPr>
          <w:rFonts w:hint="default" w:ascii="Times New Roman" w:hAnsi="Times New Roman" w:eastAsia="楷体_GB2312" w:cs="Times New Roman"/>
          <w:b/>
          <w:bCs/>
          <w:color w:val="auto"/>
          <w:sz w:val="32"/>
          <w:szCs w:val="32"/>
          <w:highlight w:val="none"/>
          <w:lang w:val="en-US" w:eastAsia="zh-CN"/>
        </w:rPr>
        <w:t>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项目产出类指标包括产出数量、产出质量、产出时效、产出成本四方面的内容，由</w:t>
      </w: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个三级指标构成，权重分为40分，实际得分</w:t>
      </w:r>
      <w:r>
        <w:rPr>
          <w:rFonts w:hint="eastAsia" w:eastAsia="仿宋_GB2312" w:cs="Times New Roman"/>
          <w:color w:val="auto"/>
          <w:sz w:val="32"/>
          <w:szCs w:val="32"/>
          <w:highlight w:val="none"/>
          <w:lang w:val="en-US" w:eastAsia="zh-CN"/>
        </w:rPr>
        <w:t>40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1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①</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数量指标：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指标1：保障社区数量，指标值：</w:t>
      </w:r>
      <w:r>
        <w:rPr>
          <w:rFonts w:hint="eastAsia" w:ascii="仿宋" w:hAnsi="仿宋" w:eastAsia="仿宋" w:cs="仿宋"/>
          <w:b w:val="0"/>
          <w:bCs w:val="0"/>
          <w:color w:val="auto"/>
          <w:kern w:val="2"/>
          <w:sz w:val="30"/>
          <w:szCs w:val="30"/>
          <w:highlight w:val="none"/>
          <w:lang w:val="en-US" w:eastAsia="zh-CN" w:bidi="ar-SA"/>
        </w:rPr>
        <w:t>&gt;=5个</w:t>
      </w:r>
      <w:r>
        <w:rPr>
          <w:rFonts w:hint="default" w:ascii="Times New Roman" w:hAnsi="Times New Roman" w:eastAsia="仿宋_GB2312" w:cs="Times New Roman"/>
          <w:color w:val="auto"/>
          <w:sz w:val="32"/>
          <w:szCs w:val="32"/>
          <w:highlight w:val="none"/>
        </w:rPr>
        <w:t>，实际完成值：</w:t>
      </w:r>
      <w:r>
        <w:rPr>
          <w:rFonts w:hint="eastAsia" w:ascii="仿宋" w:hAnsi="仿宋" w:eastAsia="仿宋" w:cs="仿宋"/>
          <w:b w:val="0"/>
          <w:bCs w:val="0"/>
          <w:color w:val="auto"/>
          <w:kern w:val="2"/>
          <w:sz w:val="30"/>
          <w:szCs w:val="30"/>
          <w:highlight w:val="none"/>
          <w:lang w:val="en-US" w:eastAsia="zh-CN" w:bidi="ar-SA"/>
        </w:rPr>
        <w:t>=5个</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2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②</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质量指标：指标1：</w:t>
      </w:r>
      <w:r>
        <w:rPr>
          <w:rFonts w:hint="eastAsia" w:eastAsia="仿宋_GB2312" w:cs="Times New Roman"/>
          <w:color w:val="auto"/>
          <w:sz w:val="32"/>
          <w:szCs w:val="32"/>
          <w:highlight w:val="none"/>
          <w:lang w:val="en-US" w:eastAsia="zh-CN"/>
        </w:rPr>
        <w:t>资金使用合规率</w:t>
      </w:r>
      <w:r>
        <w:rPr>
          <w:rFonts w:hint="default" w:ascii="Times New Roman" w:hAnsi="Times New Roman" w:eastAsia="仿宋_GB2312" w:cs="Times New Roman"/>
          <w:color w:val="auto"/>
          <w:sz w:val="32"/>
          <w:szCs w:val="32"/>
          <w:highlight w:val="none"/>
        </w:rPr>
        <w:t>，指标值：</w:t>
      </w:r>
      <w:r>
        <w:rPr>
          <w:rFonts w:hint="eastAsia" w:ascii="仿宋" w:hAnsi="仿宋" w:eastAsia="仿宋" w:cs="仿宋"/>
          <w:b w:val="0"/>
          <w:bCs w:val="0"/>
          <w:color w:val="auto"/>
          <w:kern w:val="2"/>
          <w:sz w:val="30"/>
          <w:szCs w:val="30"/>
          <w:highlight w:val="none"/>
          <w:lang w:val="en-US" w:eastAsia="zh-CN" w:bidi="ar-SA"/>
        </w:rPr>
        <w:t>=100%</w:t>
      </w:r>
      <w:r>
        <w:rPr>
          <w:rFonts w:hint="default" w:ascii="Times New Roman" w:hAnsi="Times New Roman" w:eastAsia="仿宋_GB2312" w:cs="Times New Roman"/>
          <w:color w:val="auto"/>
          <w:sz w:val="32"/>
          <w:szCs w:val="32"/>
          <w:highlight w:val="none"/>
        </w:rPr>
        <w:t>，实际完成值：</w:t>
      </w:r>
      <w:r>
        <w:rPr>
          <w:rFonts w:hint="eastAsia" w:ascii="仿宋" w:hAnsi="仿宋" w:eastAsia="仿宋" w:cs="仿宋"/>
          <w:b w:val="0"/>
          <w:bCs w:val="0"/>
          <w:color w:val="auto"/>
          <w:kern w:val="2"/>
          <w:sz w:val="30"/>
          <w:szCs w:val="30"/>
          <w:highlight w:val="none"/>
          <w:lang w:val="en-US" w:eastAsia="zh-CN" w:bidi="ar-SA"/>
        </w:rPr>
        <w:t>=100%</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3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③</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时效指标：指标1：</w:t>
      </w:r>
      <w:r>
        <w:rPr>
          <w:rFonts w:hint="eastAsia" w:eastAsia="仿宋_GB2312" w:cs="Times New Roman"/>
          <w:color w:val="auto"/>
          <w:sz w:val="32"/>
          <w:szCs w:val="32"/>
          <w:highlight w:val="none"/>
          <w:lang w:val="en-US" w:eastAsia="zh-CN"/>
        </w:rPr>
        <w:t>资金支付及时率</w:t>
      </w:r>
      <w:r>
        <w:rPr>
          <w:rFonts w:hint="default" w:ascii="Times New Roman" w:hAnsi="Times New Roman" w:eastAsia="仿宋_GB2312" w:cs="Times New Roman"/>
          <w:color w:val="auto"/>
          <w:sz w:val="32"/>
          <w:szCs w:val="32"/>
          <w:highlight w:val="none"/>
        </w:rPr>
        <w:t>，指标值：</w:t>
      </w:r>
      <w:r>
        <w:rPr>
          <w:rFonts w:hint="eastAsia" w:ascii="仿宋" w:hAnsi="仿宋" w:eastAsia="仿宋" w:cs="仿宋"/>
          <w:b w:val="0"/>
          <w:bCs w:val="0"/>
          <w:color w:val="auto"/>
          <w:kern w:val="2"/>
          <w:sz w:val="30"/>
          <w:szCs w:val="30"/>
          <w:highlight w:val="none"/>
          <w:lang w:val="en-US" w:eastAsia="zh-CN" w:bidi="ar-SA"/>
        </w:rPr>
        <w:t>=100%</w:t>
      </w:r>
      <w:r>
        <w:rPr>
          <w:rFonts w:hint="default" w:ascii="Times New Roman" w:hAnsi="Times New Roman" w:eastAsia="仿宋_GB2312" w:cs="Times New Roman"/>
          <w:color w:val="auto"/>
          <w:sz w:val="32"/>
          <w:szCs w:val="32"/>
          <w:highlight w:val="none"/>
        </w:rPr>
        <w:t>，实际完成值：</w:t>
      </w:r>
      <w:r>
        <w:rPr>
          <w:rFonts w:hint="eastAsia" w:ascii="仿宋" w:hAnsi="仿宋" w:eastAsia="仿宋" w:cs="仿宋"/>
          <w:b w:val="0"/>
          <w:bCs w:val="0"/>
          <w:color w:val="auto"/>
          <w:kern w:val="2"/>
          <w:sz w:val="30"/>
          <w:szCs w:val="30"/>
          <w:highlight w:val="none"/>
          <w:lang w:val="en-US" w:eastAsia="zh-CN" w:bidi="ar-SA"/>
        </w:rPr>
        <w:t>=100%</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资金支付完成时间</w:t>
      </w:r>
      <w:r>
        <w:rPr>
          <w:rFonts w:hint="default" w:ascii="Times New Roman" w:hAnsi="Times New Roman" w:eastAsia="仿宋_GB2312" w:cs="Times New Roman"/>
          <w:color w:val="auto"/>
          <w:sz w:val="32"/>
          <w:szCs w:val="32"/>
          <w:highlight w:val="none"/>
        </w:rPr>
        <w:t>，指标值：</w:t>
      </w:r>
      <w:r>
        <w:rPr>
          <w:rFonts w:hint="eastAsia" w:ascii="仿宋" w:hAnsi="仿宋" w:eastAsia="仿宋" w:cs="仿宋"/>
          <w:b w:val="0"/>
          <w:bCs w:val="0"/>
          <w:color w:val="auto"/>
          <w:kern w:val="2"/>
          <w:sz w:val="30"/>
          <w:szCs w:val="30"/>
          <w:highlight w:val="none"/>
          <w:lang w:val="en-US" w:eastAsia="zh-CN" w:bidi="ar-SA"/>
        </w:rPr>
        <w:t>2024年12月20日</w:t>
      </w:r>
      <w:r>
        <w:rPr>
          <w:rFonts w:hint="default" w:ascii="Times New Roman" w:hAnsi="Times New Roman" w:eastAsia="仿宋_GB2312" w:cs="Times New Roman"/>
          <w:color w:val="auto"/>
          <w:sz w:val="32"/>
          <w:szCs w:val="32"/>
          <w:highlight w:val="none"/>
        </w:rPr>
        <w:t>，实际完成值：</w:t>
      </w:r>
      <w:r>
        <w:rPr>
          <w:rFonts w:hint="eastAsia" w:ascii="仿宋" w:hAnsi="仿宋" w:eastAsia="仿宋" w:cs="仿宋"/>
          <w:b w:val="0"/>
          <w:bCs w:val="0"/>
          <w:color w:val="auto"/>
          <w:kern w:val="2"/>
          <w:sz w:val="30"/>
          <w:szCs w:val="30"/>
          <w:highlight w:val="none"/>
          <w:lang w:val="en-US" w:eastAsia="zh-CN" w:bidi="ar-SA"/>
        </w:rPr>
        <w:t>2024年12月13日</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4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④</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成本指标：指标1：</w:t>
      </w:r>
      <w:r>
        <w:rPr>
          <w:rFonts w:hint="eastAsia" w:eastAsia="仿宋_GB2312" w:cs="Times New Roman"/>
          <w:color w:val="auto"/>
          <w:sz w:val="32"/>
          <w:szCs w:val="32"/>
          <w:highlight w:val="none"/>
          <w:lang w:val="en-US" w:eastAsia="zh-CN"/>
        </w:rPr>
        <w:t>各社区平均运转经费成本</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&lt;</w:t>
      </w:r>
      <w:r>
        <w:rPr>
          <w:rFonts w:hint="eastAsia" w:ascii="仿宋" w:hAnsi="仿宋" w:eastAsia="仿宋" w:cs="仿宋"/>
          <w:b w:val="0"/>
          <w:bCs w:val="0"/>
          <w:color w:val="auto"/>
          <w:kern w:val="2"/>
          <w:sz w:val="30"/>
          <w:szCs w:val="30"/>
          <w:highlight w:val="none"/>
          <w:lang w:val="en-US" w:eastAsia="zh-CN" w:bidi="ar-SA"/>
        </w:rPr>
        <w:t>=13.22万元/社区</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&lt;</w:t>
      </w:r>
      <w:r>
        <w:rPr>
          <w:rFonts w:hint="eastAsia" w:ascii="仿宋" w:hAnsi="仿宋" w:eastAsia="仿宋" w:cs="仿宋"/>
          <w:b w:val="0"/>
          <w:bCs w:val="0"/>
          <w:color w:val="auto"/>
          <w:kern w:val="2"/>
          <w:sz w:val="30"/>
          <w:szCs w:val="30"/>
          <w:highlight w:val="none"/>
          <w:lang w:val="en-US" w:eastAsia="zh-CN" w:bidi="ar-SA"/>
        </w:rPr>
        <w:t>=13.22万元/社区</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此项权重分值为40分，得分为40分。</w:t>
      </w:r>
    </w:p>
    <w:p>
      <w:pPr>
        <w:pStyle w:val="12"/>
        <w:numPr>
          <w:ilvl w:val="0"/>
          <w:numId w:val="5"/>
        </w:numPr>
        <w:spacing w:line="560" w:lineRule="exact"/>
        <w:ind w:firstLine="643"/>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项目效益类指标包括项目实施效益和满意度两方面的内容，由</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个三级指标构成，权重分为20分，实际得分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%。具体效益指标及满意度指标完成情况如下：</w:t>
      </w:r>
    </w:p>
    <w:p>
      <w:pPr>
        <w:numPr>
          <w:ilvl w:val="0"/>
          <w:numId w:val="6"/>
        </w:num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实施效益</w:t>
      </w:r>
    </w:p>
    <w:p>
      <w:pPr>
        <w:numPr>
          <w:ilvl w:val="0"/>
          <w:numId w:val="0"/>
        </w:num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社会效益指标：</w:t>
      </w:r>
    </w:p>
    <w:p>
      <w:pPr>
        <w:numPr>
          <w:ilvl w:val="0"/>
          <w:numId w:val="0"/>
        </w:numPr>
        <w:shd w:val="clear"/>
        <w:spacing w:line="600" w:lineRule="exact"/>
        <w:ind w:firstLine="600" w:firstLineChars="200"/>
        <w:outlineLvl w:val="0"/>
        <w:rPr>
          <w:rFonts w:hint="default" w:ascii="Times New Roman" w:hAnsi="Times New Roman" w:eastAsia="仿宋_GB2312" w:cs="Times New Roman"/>
          <w:color w:val="auto"/>
          <w:sz w:val="32"/>
          <w:szCs w:val="32"/>
          <w:highlight w:val="none"/>
        </w:rPr>
      </w:pPr>
      <w:r>
        <w:rPr>
          <w:rFonts w:hint="eastAsia" w:ascii="仿宋" w:hAnsi="仿宋" w:eastAsia="仿宋" w:cs="仿宋"/>
          <w:color w:val="auto"/>
          <w:sz w:val="30"/>
          <w:szCs w:val="30"/>
          <w:highlight w:val="none"/>
        </w:rPr>
        <w:t>指标1：</w:t>
      </w:r>
      <w:r>
        <w:rPr>
          <w:rFonts w:hint="eastAsia" w:ascii="仿宋" w:hAnsi="仿宋" w:eastAsia="仿宋" w:cs="仿宋"/>
          <w:b w:val="0"/>
          <w:bCs w:val="0"/>
          <w:color w:val="auto"/>
          <w:kern w:val="2"/>
          <w:sz w:val="30"/>
          <w:szCs w:val="30"/>
          <w:highlight w:val="none"/>
          <w:lang w:val="en-US" w:eastAsia="zh-CN" w:bidi="ar-SA"/>
        </w:rPr>
        <w:t>提高社区党组织数</w:t>
      </w:r>
      <w:r>
        <w:rPr>
          <w:rFonts w:hint="eastAsia" w:ascii="仿宋" w:hAnsi="仿宋" w:eastAsia="仿宋" w:cs="仿宋"/>
          <w:color w:val="auto"/>
          <w:sz w:val="30"/>
          <w:szCs w:val="30"/>
          <w:highlight w:val="none"/>
        </w:rPr>
        <w:t>，指标值：</w:t>
      </w:r>
      <w:r>
        <w:rPr>
          <w:rFonts w:hint="eastAsia" w:ascii="仿宋" w:hAnsi="仿宋" w:eastAsia="仿宋" w:cs="仿宋"/>
          <w:b w:val="0"/>
          <w:bCs w:val="0"/>
          <w:color w:val="auto"/>
          <w:kern w:val="2"/>
          <w:sz w:val="30"/>
          <w:szCs w:val="30"/>
          <w:highlight w:val="none"/>
          <w:lang w:val="en-US" w:eastAsia="zh-CN" w:bidi="ar-SA"/>
        </w:rPr>
        <w:t>&gt;=5个</w:t>
      </w:r>
      <w:r>
        <w:rPr>
          <w:rFonts w:hint="eastAsia" w:ascii="仿宋" w:hAnsi="仿宋" w:eastAsia="仿宋" w:cs="仿宋"/>
          <w:color w:val="auto"/>
          <w:sz w:val="30"/>
          <w:szCs w:val="30"/>
          <w:highlight w:val="none"/>
        </w:rPr>
        <w:t>，实际完成值</w:t>
      </w:r>
      <w:r>
        <w:rPr>
          <w:rFonts w:hint="eastAsia" w:ascii="仿宋" w:hAnsi="仿宋" w:eastAsia="仿宋" w:cs="仿宋"/>
          <w:b w:val="0"/>
          <w:bCs w:val="0"/>
          <w:color w:val="auto"/>
          <w:kern w:val="2"/>
          <w:sz w:val="30"/>
          <w:szCs w:val="30"/>
          <w:highlight w:val="none"/>
          <w:lang w:val="en-US" w:eastAsia="zh-CN" w:bidi="ar-SA"/>
        </w:rPr>
        <w:t>=5个</w:t>
      </w:r>
      <w:r>
        <w:rPr>
          <w:rFonts w:hint="eastAsia" w:ascii="仿宋" w:hAnsi="仿宋" w:eastAsia="仿宋" w:cs="仿宋"/>
          <w:color w:val="auto"/>
          <w:sz w:val="30"/>
          <w:szCs w:val="30"/>
          <w:highlight w:val="none"/>
        </w:rPr>
        <w:t>，指标完成率</w:t>
      </w:r>
      <w:r>
        <w:rPr>
          <w:rFonts w:hint="eastAsia" w:ascii="仿宋" w:hAnsi="仿宋" w:eastAsia="仿宋" w:cs="仿宋"/>
          <w:color w:val="auto"/>
          <w:sz w:val="30"/>
          <w:szCs w:val="30"/>
          <w:highlight w:val="none"/>
          <w:lang w:val="en-US" w:eastAsia="zh-CN"/>
        </w:rPr>
        <w:t>100</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2.满意度</w:t>
      </w:r>
    </w:p>
    <w:p>
      <w:pPr>
        <w:shd w:val="clear"/>
        <w:spacing w:line="600" w:lineRule="exact"/>
        <w:ind w:firstLine="60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ascii="仿宋" w:hAnsi="仿宋" w:eastAsia="仿宋" w:cs="仿宋"/>
          <w:color w:val="auto"/>
          <w:sz w:val="30"/>
          <w:szCs w:val="30"/>
          <w:highlight w:val="none"/>
        </w:rPr>
        <w:t>指标1：</w:t>
      </w:r>
      <w:r>
        <w:rPr>
          <w:rFonts w:hint="eastAsia" w:ascii="仿宋" w:hAnsi="仿宋" w:eastAsia="仿宋" w:cs="仿宋"/>
          <w:color w:val="auto"/>
          <w:sz w:val="30"/>
          <w:szCs w:val="30"/>
          <w:highlight w:val="none"/>
          <w:lang w:val="en-US" w:eastAsia="zh-CN"/>
        </w:rPr>
        <w:t>居民群众满意度</w:t>
      </w:r>
      <w:r>
        <w:rPr>
          <w:rFonts w:hint="eastAsia" w:ascii="仿宋" w:hAnsi="仿宋" w:eastAsia="仿宋" w:cs="仿宋"/>
          <w:color w:val="auto"/>
          <w:sz w:val="30"/>
          <w:szCs w:val="30"/>
          <w:highlight w:val="none"/>
        </w:rPr>
        <w:t>，指标值：</w:t>
      </w:r>
      <w:r>
        <w:rPr>
          <w:rFonts w:hint="eastAsia" w:ascii="仿宋" w:hAnsi="仿宋" w:eastAsia="仿宋" w:cs="仿宋"/>
          <w:b w:val="0"/>
          <w:bCs w:val="0"/>
          <w:color w:val="auto"/>
          <w:kern w:val="2"/>
          <w:sz w:val="30"/>
          <w:szCs w:val="30"/>
          <w:highlight w:val="none"/>
          <w:lang w:val="en-US" w:eastAsia="zh-CN" w:bidi="ar-SA"/>
        </w:rPr>
        <w:t>&gt;=95%</w:t>
      </w:r>
      <w:r>
        <w:rPr>
          <w:rFonts w:hint="eastAsia" w:ascii="仿宋" w:hAnsi="仿宋" w:eastAsia="仿宋" w:cs="仿宋"/>
          <w:color w:val="auto"/>
          <w:sz w:val="30"/>
          <w:szCs w:val="30"/>
          <w:highlight w:val="none"/>
        </w:rPr>
        <w:t>，实际完成值</w:t>
      </w:r>
      <w:r>
        <w:rPr>
          <w:rFonts w:hint="eastAsia" w:ascii="仿宋" w:hAnsi="仿宋" w:eastAsia="仿宋" w:cs="仿宋"/>
          <w:b w:val="0"/>
          <w:bCs w:val="0"/>
          <w:color w:val="auto"/>
          <w:kern w:val="2"/>
          <w:sz w:val="30"/>
          <w:szCs w:val="30"/>
          <w:highlight w:val="none"/>
          <w:lang w:val="en-US" w:eastAsia="zh-CN" w:bidi="ar-SA"/>
        </w:rPr>
        <w:t>=95%</w:t>
      </w:r>
      <w:r>
        <w:rPr>
          <w:rFonts w:hint="eastAsia" w:ascii="仿宋" w:hAnsi="仿宋" w:eastAsia="仿宋" w:cs="仿宋"/>
          <w:color w:val="auto"/>
          <w:sz w:val="30"/>
          <w:szCs w:val="30"/>
          <w:highlight w:val="none"/>
        </w:rPr>
        <w:t>，指标完成率</w:t>
      </w:r>
      <w:r>
        <w:rPr>
          <w:rFonts w:hint="eastAsia" w:ascii="仿宋" w:hAnsi="仿宋" w:eastAsia="仿宋" w:cs="仿宋"/>
          <w:color w:val="auto"/>
          <w:sz w:val="30"/>
          <w:szCs w:val="30"/>
          <w:highlight w:val="none"/>
          <w:lang w:val="en-US" w:eastAsia="zh-CN"/>
        </w:rPr>
        <w:t>100</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eastAsia="zh-CN"/>
        </w:rPr>
        <w:t>。</w:t>
      </w:r>
      <w:r>
        <w:rPr>
          <w:rFonts w:hint="eastAsia" w:eastAsia="仿宋_GB2312" w:cs="Times New Roman"/>
          <w:color w:val="auto"/>
          <w:sz w:val="32"/>
          <w:szCs w:val="32"/>
          <w:highlight w:val="none"/>
          <w:lang w:val="en-US" w:eastAsia="zh-CN"/>
        </w:rPr>
        <w:t>此项权重分值为20分，得分为20分。</w:t>
      </w:r>
    </w:p>
    <w:p>
      <w:pPr>
        <w:spacing w:line="560" w:lineRule="exact"/>
        <w:ind w:firstLine="643" w:firstLineChars="200"/>
        <w:rPr>
          <w:rFonts w:hint="default" w:ascii="Times New Roman" w:hAnsi="Times New Roman" w:eastAsia="楷体_GB2312" w:cs="Times New Roman"/>
          <w:b/>
          <w:bCs/>
          <w:color w:val="auto"/>
          <w:sz w:val="32"/>
          <w:szCs w:val="32"/>
          <w:highlight w:val="none"/>
          <w:lang w:val="en-US" w:eastAsia="zh-Hans"/>
        </w:rPr>
      </w:pPr>
      <w:r>
        <w:rPr>
          <w:rFonts w:hint="default" w:ascii="Times New Roman" w:hAnsi="Times New Roman" w:eastAsia="楷体_GB2312" w:cs="Times New Roman"/>
          <w:b/>
          <w:bCs/>
          <w:color w:val="auto"/>
          <w:sz w:val="32"/>
          <w:szCs w:val="32"/>
          <w:highlight w:val="none"/>
          <w:lang w:val="en-US" w:eastAsia="zh-CN"/>
        </w:rPr>
        <w:t>（五）</w:t>
      </w:r>
      <w:r>
        <w:rPr>
          <w:rFonts w:hint="default" w:ascii="Times New Roman" w:hAnsi="Times New Roman" w:eastAsia="楷体_GB2312" w:cs="Times New Roman"/>
          <w:b/>
          <w:bCs/>
          <w:color w:val="auto"/>
          <w:sz w:val="32"/>
          <w:szCs w:val="32"/>
          <w:highlight w:val="none"/>
          <w:lang w:val="en-US" w:eastAsia="zh-Hans"/>
        </w:rPr>
        <w:t>预算执行进度与绩效指标总体完成率偏差</w:t>
      </w:r>
    </w:p>
    <w:p>
      <w:pPr>
        <w:spacing w:line="700" w:lineRule="exact"/>
        <w:ind w:firstLine="640" w:firstLineChars="200"/>
        <w:jc w:val="left"/>
        <w:rPr>
          <w:rFonts w:hint="default" w:ascii="Times New Roman" w:hAnsi="Times New Roman" w:eastAsia="方正仿宋_GBK" w:cs="Times New Roman"/>
          <w:color w:val="auto"/>
          <w:sz w:val="32"/>
          <w:szCs w:val="32"/>
          <w:highlight w:val="none"/>
        </w:rPr>
      </w:pPr>
      <w:r>
        <w:rPr>
          <w:rFonts w:hint="default" w:ascii="Times New Roman" w:hAnsi="Times New Roman" w:eastAsia="方正仿宋_GBK" w:cs="Times New Roman"/>
          <w:color w:val="auto"/>
          <w:sz w:val="32"/>
          <w:szCs w:val="32"/>
          <w:highlight w:val="none"/>
        </w:rPr>
        <w:t>部门专项-社区党建工作经费项目年初预算</w:t>
      </w:r>
      <w:r>
        <w:rPr>
          <w:rFonts w:hint="eastAsia" w:eastAsia="方正仿宋_GBK" w:cs="Times New Roman"/>
          <w:color w:val="auto"/>
          <w:sz w:val="32"/>
          <w:szCs w:val="32"/>
          <w:highlight w:val="none"/>
          <w:lang w:val="en-US" w:eastAsia="zh-CN"/>
        </w:rPr>
        <w:t>95</w:t>
      </w:r>
      <w:r>
        <w:rPr>
          <w:rFonts w:hint="default" w:ascii="Times New Roman" w:hAnsi="Times New Roman" w:eastAsia="方正仿宋_GBK" w:cs="Times New Roman"/>
          <w:color w:val="auto"/>
          <w:sz w:val="32"/>
          <w:szCs w:val="32"/>
          <w:highlight w:val="none"/>
        </w:rPr>
        <w:t>万元，全年预算</w:t>
      </w:r>
      <w:r>
        <w:rPr>
          <w:rFonts w:hint="eastAsia" w:eastAsia="方正仿宋_GBK" w:cs="Times New Roman"/>
          <w:color w:val="auto"/>
          <w:sz w:val="32"/>
          <w:szCs w:val="32"/>
          <w:highlight w:val="none"/>
          <w:lang w:val="en-US" w:eastAsia="zh-CN"/>
        </w:rPr>
        <w:t>66.12</w:t>
      </w:r>
      <w:r>
        <w:rPr>
          <w:rFonts w:hint="default" w:ascii="Times New Roman" w:hAnsi="Times New Roman" w:eastAsia="方正仿宋_GBK" w:cs="Times New Roman"/>
          <w:color w:val="auto"/>
          <w:sz w:val="32"/>
          <w:szCs w:val="32"/>
          <w:highlight w:val="none"/>
        </w:rPr>
        <w:t>万元，实际支出</w:t>
      </w:r>
      <w:r>
        <w:rPr>
          <w:rFonts w:hint="eastAsia" w:eastAsia="方正仿宋_GBK" w:cs="Times New Roman"/>
          <w:color w:val="auto"/>
          <w:sz w:val="32"/>
          <w:szCs w:val="32"/>
          <w:highlight w:val="none"/>
          <w:lang w:val="en-US" w:eastAsia="zh-CN"/>
        </w:rPr>
        <w:t>66.12</w:t>
      </w:r>
      <w:r>
        <w:rPr>
          <w:rFonts w:hint="default" w:ascii="Times New Roman" w:hAnsi="Times New Roman" w:eastAsia="方正仿宋_GBK" w:cs="Times New Roman"/>
          <w:color w:val="auto"/>
          <w:sz w:val="32"/>
          <w:szCs w:val="32"/>
          <w:highlight w:val="none"/>
        </w:rPr>
        <w:t>万元，预算执行率为</w:t>
      </w:r>
      <w:r>
        <w:rPr>
          <w:rFonts w:hint="eastAsia" w:eastAsia="方正仿宋_GBK" w:cs="Times New Roman"/>
          <w:color w:val="auto"/>
          <w:sz w:val="32"/>
          <w:szCs w:val="32"/>
          <w:highlight w:val="none"/>
          <w:lang w:val="en-US" w:eastAsia="zh-CN"/>
        </w:rPr>
        <w:t>100</w:t>
      </w:r>
      <w:r>
        <w:rPr>
          <w:rFonts w:hint="default" w:ascii="Times New Roman" w:hAnsi="Times New Roman" w:eastAsia="方正仿宋_GBK" w:cs="Times New Roman"/>
          <w:color w:val="auto"/>
          <w:sz w:val="32"/>
          <w:szCs w:val="32"/>
          <w:highlight w:val="none"/>
        </w:rPr>
        <w:t>%，</w:t>
      </w:r>
      <w:commentRangeStart w:id="3"/>
      <w:r>
        <w:rPr>
          <w:rFonts w:hint="default" w:ascii="Times New Roman" w:hAnsi="Times New Roman" w:eastAsia="方正仿宋_GBK" w:cs="Times New Roman"/>
          <w:color w:val="auto"/>
          <w:sz w:val="32"/>
          <w:szCs w:val="32"/>
          <w:highlight w:val="none"/>
        </w:rPr>
        <w:t>项目绩效指标总体完成率为</w:t>
      </w:r>
      <w:r>
        <w:rPr>
          <w:rFonts w:hint="eastAsia" w:eastAsia="方正仿宋_GBK" w:cs="Times New Roman"/>
          <w:color w:val="auto"/>
          <w:sz w:val="32"/>
          <w:szCs w:val="32"/>
          <w:highlight w:val="none"/>
          <w:lang w:val="en-US" w:eastAsia="zh-CN"/>
        </w:rPr>
        <w:t>100</w:t>
      </w:r>
      <w:r>
        <w:rPr>
          <w:rFonts w:hint="default" w:ascii="Times New Roman" w:hAnsi="Times New Roman" w:eastAsia="方正仿宋_GBK" w:cs="Times New Roman"/>
          <w:color w:val="auto"/>
          <w:sz w:val="32"/>
          <w:szCs w:val="32"/>
          <w:highlight w:val="none"/>
        </w:rPr>
        <w:t>%</w:t>
      </w:r>
      <w:commentRangeEnd w:id="3"/>
      <w:r>
        <w:rPr>
          <w:rFonts w:hint="default" w:ascii="Times New Roman" w:hAnsi="Times New Roman" w:cs="Times New Roman"/>
          <w:color w:val="auto"/>
          <w:highlight w:val="none"/>
        </w:rPr>
        <w:commentReference w:id="3"/>
      </w:r>
      <w:r>
        <w:rPr>
          <w:rFonts w:hint="default" w:ascii="Times New Roman" w:hAnsi="Times New Roman" w:eastAsia="方正仿宋_GBK" w:cs="Times New Roman"/>
          <w:color w:val="auto"/>
          <w:sz w:val="32"/>
          <w:szCs w:val="32"/>
          <w:highlight w:val="none"/>
        </w:rPr>
        <w:t>，</w:t>
      </w:r>
      <w:r>
        <w:rPr>
          <w:rFonts w:hint="default" w:ascii="Times New Roman" w:hAnsi="Times New Roman" w:eastAsia="方正仿宋_GBK" w:cs="Times New Roman"/>
          <w:color w:val="auto"/>
          <w:sz w:val="32"/>
          <w:szCs w:val="32"/>
          <w:highlight w:val="none"/>
          <w:lang w:eastAsia="zh-Hans"/>
        </w:rPr>
        <w:t>总体</w:t>
      </w:r>
      <w:commentRangeStart w:id="4"/>
      <w:r>
        <w:rPr>
          <w:rFonts w:hint="default" w:ascii="Times New Roman" w:hAnsi="Times New Roman" w:eastAsia="方正仿宋_GBK" w:cs="Times New Roman"/>
          <w:color w:val="auto"/>
          <w:sz w:val="32"/>
          <w:szCs w:val="32"/>
          <w:highlight w:val="none"/>
        </w:rPr>
        <w:t>偏差率为</w:t>
      </w:r>
      <w:r>
        <w:rPr>
          <w:rFonts w:hint="eastAsia" w:eastAsia="方正仿宋_GBK" w:cs="Times New Roman"/>
          <w:color w:val="auto"/>
          <w:sz w:val="32"/>
          <w:szCs w:val="32"/>
          <w:highlight w:val="none"/>
          <w:lang w:val="en-US" w:eastAsia="zh-CN"/>
        </w:rPr>
        <w:t>0</w:t>
      </w:r>
      <w:r>
        <w:rPr>
          <w:rFonts w:hint="default" w:ascii="Times New Roman" w:hAnsi="Times New Roman" w:eastAsia="方正仿宋_GBK" w:cs="Times New Roman"/>
          <w:color w:val="auto"/>
          <w:sz w:val="32"/>
          <w:szCs w:val="32"/>
          <w:highlight w:val="none"/>
        </w:rPr>
        <w:t>%</w:t>
      </w:r>
      <w:commentRangeEnd w:id="4"/>
      <w:r>
        <w:rPr>
          <w:rFonts w:hint="default" w:ascii="Times New Roman" w:hAnsi="Times New Roman" w:cs="Times New Roman"/>
          <w:color w:val="auto"/>
          <w:highlight w:val="none"/>
        </w:rPr>
        <w:commentReference w:id="4"/>
      </w:r>
      <w:r>
        <w:rPr>
          <w:rFonts w:hint="default" w:ascii="Times New Roman" w:hAnsi="Times New Roman" w:eastAsia="方正仿宋_GBK" w:cs="Times New Roman"/>
          <w:color w:val="auto"/>
          <w:sz w:val="32"/>
          <w:szCs w:val="32"/>
          <w:highlight w:val="none"/>
        </w:rPr>
        <w:t>。</w:t>
      </w:r>
    </w:p>
    <w:p>
      <w:pPr>
        <w:spacing w:line="560" w:lineRule="exact"/>
        <w:ind w:firstLine="640" w:firstLineChars="200"/>
        <w:rPr>
          <w:rStyle w:val="18"/>
          <w:rFonts w:hint="default" w:ascii="Times New Roman" w:hAnsi="Times New Roman" w:cs="Times New Roman"/>
          <w:color w:val="auto"/>
          <w:highlight w:val="none"/>
        </w:rPr>
      </w:pPr>
      <w:r>
        <w:rPr>
          <w:rFonts w:hint="eastAsia" w:eastAsia="黑体" w:cs="Times New Roman"/>
          <w:color w:val="auto"/>
          <w:sz w:val="32"/>
          <w:szCs w:val="32"/>
          <w:highlight w:val="none"/>
          <w:lang w:val="en-US" w:eastAsia="zh-CN"/>
        </w:rPr>
        <w:t>五</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黑体" w:cs="Times New Roman"/>
          <w:color w:val="auto"/>
          <w:sz w:val="32"/>
          <w:szCs w:val="32"/>
          <w:highlight w:val="none"/>
        </w:rPr>
        <w:t>主要经验及做法、存在的问题及原因分析</w:t>
      </w:r>
    </w:p>
    <w:p>
      <w:pPr>
        <w:spacing w:line="560" w:lineRule="exact"/>
        <w:ind w:firstLine="627" w:firstLineChars="200"/>
        <w:rPr>
          <w:rFonts w:hint="default" w:ascii="Times New Roman" w:hAnsi="Times New Roman" w:eastAsia="楷体" w:cs="Times New Roman"/>
          <w:b/>
          <w:color w:val="auto"/>
          <w:spacing w:val="-4"/>
          <w:sz w:val="32"/>
          <w:szCs w:val="32"/>
          <w:highlight w:val="none"/>
        </w:rPr>
      </w:pPr>
      <w:r>
        <w:rPr>
          <w:rFonts w:hint="default" w:ascii="Times New Roman" w:hAnsi="Times New Roman" w:eastAsia="楷体" w:cs="Times New Roman"/>
          <w:b/>
          <w:color w:val="auto"/>
          <w:spacing w:val="-4"/>
          <w:sz w:val="32"/>
          <w:szCs w:val="32"/>
          <w:highlight w:val="none"/>
        </w:rPr>
        <w:t>（一）主要经验及做法</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在项目资金使用过程中，严格落实把关，再三审核。</w:t>
      </w:r>
      <w:r>
        <w:rPr>
          <w:rFonts w:hint="eastAsia" w:eastAsia="仿宋_GB2312" w:cs="Times New Roman"/>
          <w:color w:val="auto"/>
          <w:sz w:val="32"/>
          <w:szCs w:val="32"/>
          <w:highlight w:val="none"/>
          <w:lang w:val="en-US" w:eastAsia="zh-CN"/>
        </w:rPr>
        <w:t>同时</w:t>
      </w:r>
      <w:r>
        <w:rPr>
          <w:rFonts w:hint="default" w:ascii="Times New Roman" w:hAnsi="Times New Roman" w:eastAsia="仿宋_GB2312" w:cs="Times New Roman"/>
          <w:color w:val="auto"/>
          <w:sz w:val="32"/>
          <w:szCs w:val="32"/>
          <w:highlight w:val="none"/>
        </w:rPr>
        <w:t>做好监督检查</w:t>
      </w:r>
      <w:r>
        <w:rPr>
          <w:rFonts w:hint="eastAsia" w:eastAsia="仿宋_GB2312" w:cs="Times New Roman"/>
          <w:color w:val="auto"/>
          <w:sz w:val="32"/>
          <w:szCs w:val="32"/>
          <w:highlight w:val="none"/>
          <w:lang w:val="en-US" w:eastAsia="zh-CN"/>
        </w:rPr>
        <w:t>工作</w:t>
      </w:r>
      <w:r>
        <w:rPr>
          <w:rFonts w:hint="default" w:ascii="Times New Roman" w:hAnsi="Times New Roman" w:eastAsia="仿宋_GB2312" w:cs="Times New Roman"/>
          <w:color w:val="auto"/>
          <w:sz w:val="32"/>
          <w:szCs w:val="32"/>
          <w:highlight w:val="none"/>
        </w:rPr>
        <w:t>，严格按照项目管理规范进行，按照项目资金使用范围做好审核工作，让项目资金落于实处。</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在项目完成后，</w:t>
      </w:r>
      <w:r>
        <w:rPr>
          <w:rFonts w:hint="eastAsia" w:eastAsia="仿宋_GB2312" w:cs="Times New Roman"/>
          <w:color w:val="auto"/>
          <w:sz w:val="32"/>
          <w:szCs w:val="32"/>
          <w:highlight w:val="none"/>
          <w:lang w:val="en-US" w:eastAsia="zh-CN"/>
        </w:rPr>
        <w:t>通过利益相关深度，公众参与评价，通过问卷满意度调查，盛情邀请辖区居民进行评价填写，将群众的意见纳入评价结果，</w:t>
      </w:r>
      <w:r>
        <w:rPr>
          <w:rFonts w:hint="default" w:ascii="Times New Roman" w:hAnsi="Times New Roman" w:eastAsia="仿宋_GB2312" w:cs="Times New Roman"/>
          <w:color w:val="auto"/>
          <w:sz w:val="32"/>
          <w:szCs w:val="32"/>
          <w:highlight w:val="none"/>
        </w:rPr>
        <w:t>做好调查工作。</w:t>
      </w:r>
    </w:p>
    <w:p>
      <w:pPr>
        <w:keepNext/>
        <w:keepLines/>
        <w:numPr>
          <w:ilvl w:val="0"/>
          <w:numId w:val="7"/>
        </w:num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存在的问题及原因分析</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基层财务工作基础还需进一步夯实，财务工作人员少，工作压力大，财务工作水平仍需要进一步提高。面对这些问题我们将认真分析，切实加以解决，进一步完善财务制度，规范财经纪律，严格控制非生产性开支，进一步提高项目支出水平。</w:t>
      </w:r>
    </w:p>
    <w:p>
      <w:pPr>
        <w:spacing w:line="560" w:lineRule="exact"/>
        <w:ind w:firstLine="640" w:firstLineChars="200"/>
        <w:rPr>
          <w:rFonts w:hint="default" w:ascii="Times New Roman" w:hAnsi="Times New Roman" w:eastAsia="黑体" w:cs="Times New Roman"/>
          <w:color w:val="auto"/>
          <w:sz w:val="32"/>
          <w:szCs w:val="32"/>
          <w:highlight w:val="none"/>
        </w:rPr>
      </w:pPr>
      <w:r>
        <w:rPr>
          <w:rFonts w:hint="eastAsia" w:ascii="Times New Roman" w:hAnsi="Times New Roman" w:eastAsia="黑体" w:cs="Times New Roman"/>
          <w:color w:val="auto"/>
          <w:sz w:val="32"/>
          <w:szCs w:val="32"/>
          <w:highlight w:val="none"/>
          <w:lang w:val="en-US" w:eastAsia="zh-CN"/>
        </w:rPr>
        <w:t>六</w:t>
      </w:r>
      <w:r>
        <w:rPr>
          <w:rFonts w:hint="default" w:ascii="Times New Roman" w:hAnsi="Times New Roman" w:eastAsia="黑体" w:cs="Times New Roman"/>
          <w:color w:val="auto"/>
          <w:sz w:val="32"/>
          <w:szCs w:val="32"/>
          <w:highlight w:val="none"/>
          <w:lang w:val="en-US" w:eastAsia="zh-CN"/>
        </w:rPr>
        <w:t>.</w:t>
      </w:r>
      <w:r>
        <w:rPr>
          <w:rFonts w:hint="default" w:ascii="Times New Roman" w:hAnsi="Times New Roman" w:eastAsia="黑体" w:cs="Times New Roman"/>
          <w:color w:val="auto"/>
          <w:sz w:val="32"/>
          <w:szCs w:val="32"/>
          <w:highlight w:val="none"/>
        </w:rPr>
        <w:t>有关建议</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多进行有关绩效管理工作方面的培训。积极组织第三方开展绩效管理工作培训，进一步夯实业务基础，提高我单位绩效人员水平。规范项目建设的程序严格执行资金管理办法和财政资金管理制度，严格按照项目实施方案稳步推进工作，根据自己项目的特点进行总结。</w:t>
      </w:r>
    </w:p>
    <w:p>
      <w:pPr>
        <w:spacing w:line="560" w:lineRule="exact"/>
        <w:ind w:firstLine="640" w:firstLineChars="200"/>
        <w:rPr>
          <w:rFonts w:hint="default" w:ascii="Times New Roman" w:hAnsi="Times New Roman" w:eastAsia="黑体" w:cs="Times New Roman"/>
          <w:color w:val="auto"/>
          <w:sz w:val="32"/>
          <w:szCs w:val="32"/>
          <w:highlight w:val="none"/>
        </w:rPr>
      </w:pPr>
      <w:r>
        <w:rPr>
          <w:rFonts w:hint="eastAsia" w:eastAsia="黑体" w:cs="Times New Roman"/>
          <w:color w:val="auto"/>
          <w:sz w:val="32"/>
          <w:szCs w:val="32"/>
          <w:highlight w:val="none"/>
          <w:lang w:val="en-US" w:eastAsia="zh-CN"/>
        </w:rPr>
        <w:t>七</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黑体" w:cs="Times New Roman"/>
          <w:color w:val="auto"/>
          <w:sz w:val="32"/>
          <w:szCs w:val="32"/>
          <w:highlight w:val="none"/>
        </w:rPr>
        <w:t>其他需要说</w:t>
      </w:r>
      <w:bookmarkStart w:id="1" w:name="page8"/>
      <w:bookmarkEnd w:id="1"/>
      <w:r>
        <w:rPr>
          <w:rFonts w:hint="default" w:ascii="Times New Roman" w:hAnsi="Times New Roman" w:eastAsia="黑体" w:cs="Times New Roman"/>
          <w:color w:val="auto"/>
          <w:sz w:val="32"/>
          <w:szCs w:val="32"/>
          <w:highlight w:val="none"/>
        </w:rPr>
        <w:t>明的问题</w:t>
      </w:r>
    </w:p>
    <w:p>
      <w:pPr>
        <w:pStyle w:val="13"/>
        <w:spacing w:after="0" w:line="560" w:lineRule="exact"/>
        <w:ind w:left="0" w:leftChars="0" w:firstLine="640"/>
        <w:rPr>
          <w:rFonts w:hint="default" w:ascii="Times New Roman" w:hAnsi="Times New Roman" w:eastAsia="仿宋_GB2312" w:cs="Times New Roman"/>
          <w:color w:val="auto"/>
          <w:sz w:val="32"/>
          <w:szCs w:val="32"/>
          <w:highlight w:val="none"/>
          <w:lang w:eastAsia="zh-Hans"/>
        </w:rPr>
      </w:pPr>
      <w:r>
        <w:rPr>
          <w:rFonts w:hint="eastAsia" w:ascii="Times New Roman" w:hAnsi="Times New Roman"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lang w:eastAsia="zh-Hans"/>
        </w:rPr>
        <w:t>无其他需说明的问题。</w:t>
      </w:r>
    </w:p>
    <w:p>
      <w:pPr>
        <w:pStyle w:val="13"/>
        <w:spacing w:after="0" w:line="560" w:lineRule="exact"/>
        <w:ind w:left="0" w:leftChars="0" w:firstLine="640"/>
        <w:rPr>
          <w:rFonts w:hint="eastAsia" w:ascii="Times New Roman" w:hAnsi="Times New Roman" w:eastAsia="仿宋_GB2312" w:cs="Times New Roman"/>
          <w:color w:val="auto"/>
          <w:sz w:val="32"/>
          <w:szCs w:val="32"/>
          <w:highlight w:val="none"/>
          <w:lang w:eastAsia="zh-CN"/>
        </w:rPr>
      </w:pPr>
    </w:p>
    <w:p>
      <w:pPr>
        <w:pStyle w:val="13"/>
        <w:spacing w:after="0" w:line="560" w:lineRule="exact"/>
        <w:ind w:left="0" w:leftChars="0" w:firstLine="640"/>
        <w:rPr>
          <w:rFonts w:hint="eastAsia" w:ascii="Times New Roman" w:hAnsi="Times New Roman" w:eastAsia="仿宋_GB2312" w:cs="Times New Roman"/>
          <w:color w:val="auto"/>
          <w:sz w:val="32"/>
          <w:szCs w:val="32"/>
          <w:highlight w:val="none"/>
          <w:lang w:eastAsia="zh-CN"/>
        </w:rPr>
      </w:pPr>
    </w:p>
    <w:p>
      <w:pPr>
        <w:pStyle w:val="13"/>
        <w:spacing w:after="0" w:line="560" w:lineRule="exact"/>
        <w:ind w:left="0" w:leftChars="0" w:firstLine="640"/>
        <w:rPr>
          <w:rFonts w:hint="eastAsia" w:ascii="Times New Roman" w:hAnsi="Times New Roman" w:eastAsia="仿宋_GB2312" w:cs="Times New Roman"/>
          <w:color w:val="auto"/>
          <w:sz w:val="32"/>
          <w:szCs w:val="32"/>
          <w:highlight w:val="none"/>
          <w:lang w:eastAsia="zh-CN"/>
        </w:rPr>
      </w:pPr>
    </w:p>
    <w:p>
      <w:pPr>
        <w:pStyle w:val="13"/>
        <w:spacing w:after="0" w:line="560" w:lineRule="exact"/>
        <w:ind w:left="0" w:leftChars="0" w:firstLine="640"/>
        <w:rPr>
          <w:rFonts w:hint="default" w:ascii="Times New Roman" w:hAnsi="Times New Roman" w:eastAsia="仿宋_GB2312" w:cs="Times New Roman"/>
          <w:color w:val="auto"/>
          <w:sz w:val="32"/>
          <w:szCs w:val="32"/>
          <w:highlight w:val="none"/>
        </w:rPr>
      </w:pPr>
    </w:p>
    <w:p>
      <w:pPr>
        <w:pStyle w:val="13"/>
        <w:spacing w:after="0" w:line="560" w:lineRule="exact"/>
        <w:ind w:left="0" w:leftChars="0" w:firstLine="640"/>
        <w:rPr>
          <w:rFonts w:hint="default" w:ascii="Times New Roman" w:hAnsi="Times New Roman" w:eastAsia="仿宋_GB2312" w:cs="Times New Roman"/>
          <w:color w:val="auto"/>
          <w:sz w:val="32"/>
          <w:szCs w:val="32"/>
          <w:highlight w:val="none"/>
        </w:rPr>
      </w:pPr>
    </w:p>
    <w:p>
      <w:pPr>
        <w:pStyle w:val="13"/>
        <w:spacing w:after="0" w:line="560" w:lineRule="exact"/>
        <w:ind w:left="0" w:leftChars="0" w:firstLine="0" w:firstLineChars="0"/>
        <w:rPr>
          <w:rFonts w:hint="default" w:ascii="Times New Roman" w:hAnsi="Times New Roman" w:eastAsia="仿宋_GB2312" w:cs="Times New Roman"/>
          <w:color w:val="auto"/>
          <w:sz w:val="32"/>
          <w:szCs w:val="32"/>
          <w:highlight w:val="none"/>
        </w:rPr>
      </w:pPr>
    </w:p>
    <w:p>
      <w:pPr>
        <w:spacing w:line="600" w:lineRule="exact"/>
        <w:rPr>
          <w:rFonts w:hint="eastAsia" w:ascii="Times New Roman" w:hAnsi="Times New Roman" w:eastAsia="黑体" w:cs="Times New Roman"/>
          <w:color w:val="auto"/>
          <w:sz w:val="32"/>
          <w:szCs w:val="32"/>
          <w:highlight w:val="none"/>
          <w:lang w:val="en-US" w:eastAsia="zh-CN"/>
        </w:rPr>
        <w:sectPr>
          <w:footerReference r:id="rId5"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附件</w:t>
      </w:r>
      <w:r>
        <w:rPr>
          <w:rFonts w:hint="eastAsia" w:eastAsia="黑体" w:cs="Times New Roman"/>
          <w:color w:val="auto"/>
          <w:sz w:val="32"/>
          <w:szCs w:val="32"/>
          <w:highlight w:val="none"/>
          <w:lang w:val="en-US" w:eastAsia="zh-CN"/>
        </w:rPr>
        <w:t>1</w:t>
      </w:r>
    </w:p>
    <w:p>
      <w:pPr>
        <w:pStyle w:val="19"/>
        <w:ind w:firstLine="562"/>
        <w:jc w:val="center"/>
        <w:rPr>
          <w:rFonts w:hint="eastAsia" w:ascii="仿宋_GB2312" w:hAnsi="仿宋_GB2312" w:eastAsia="仿宋_GB2312" w:cs="仿宋_GB2312"/>
          <w:color w:val="auto"/>
          <w:sz w:val="28"/>
          <w:szCs w:val="40"/>
          <w:highlight w:val="none"/>
        </w:rPr>
      </w:pPr>
      <w:bookmarkStart w:id="2" w:name="_Toc26499_WPSOffice_Level2"/>
      <w:bookmarkStart w:id="3" w:name="_Toc30064_WPSOffice_Level1"/>
      <w:r>
        <w:rPr>
          <w:rFonts w:hint="eastAsia" w:ascii="仿宋_GB2312" w:hAnsi="仿宋_GB2312" w:eastAsia="仿宋_GB2312" w:cs="仿宋_GB2312"/>
          <w:b/>
          <w:bCs/>
          <w:color w:val="auto"/>
          <w:sz w:val="28"/>
          <w:szCs w:val="40"/>
          <w:highlight w:val="none"/>
          <w:lang w:val="en-US" w:eastAsia="zh-CN"/>
        </w:rPr>
        <w:t>部门专项-社区党建工作经费</w:t>
      </w:r>
      <w:r>
        <w:rPr>
          <w:rFonts w:hint="eastAsia" w:ascii="仿宋_GB2312" w:hAnsi="仿宋_GB2312" w:eastAsia="仿宋_GB2312" w:cs="仿宋_GB2312"/>
          <w:b/>
          <w:bCs/>
          <w:color w:val="auto"/>
          <w:sz w:val="28"/>
          <w:szCs w:val="40"/>
          <w:highlight w:val="none"/>
        </w:rPr>
        <w:t>项目绩效评价指标体系及综合评分表</w:t>
      </w:r>
      <w:bookmarkEnd w:id="2"/>
      <w:bookmarkEnd w:id="3"/>
    </w:p>
    <w:tbl>
      <w:tblPr>
        <w:tblStyle w:val="14"/>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一级指标</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二级指标</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三级指标</w:t>
            </w:r>
          </w:p>
        </w:tc>
        <w:tc>
          <w:tcPr>
            <w:tcW w:w="680"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指标解释</w:t>
            </w:r>
          </w:p>
        </w:tc>
        <w:tc>
          <w:tcPr>
            <w:tcW w:w="2055"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指标说明</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权重</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决策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立项依据</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充分性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②项目立项是否符合行业发展规划和政策要求；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③项目立项是否与部门职责范围相符，属于部门履职所需；</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⑤项目是否与相关部门同类项目或部门内部相关项目重复。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立项程序</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规范性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①项目是否按照规定的程序申请设立；</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②审批文件、材料是否符合相关要求；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（如未设定预算绩效目标，也可考核其他工作任务目标）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①项目是否有绩效目标；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②项目绩效目标与实际工作内容是否具有相关性；</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③项目预期产出效益和效果是否符合正常的业绩水平；</w:t>
            </w:r>
          </w:p>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④是否与预算确定的项目投资额或资金量相匹配。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绩效指标</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明确性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①是否将项目绩效目标细化分解为具体的绩效指标；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②是否通过清晰、可衡量的指标值予以体现；</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③是否与项目目标任务数或计划数相对应。</w:t>
            </w:r>
            <w:r>
              <w:rPr>
                <w:rFonts w:hint="default" w:ascii="Times New Roman" w:hAnsi="Times New Roman" w:eastAsia="仿宋_GB2312" w:cs="Times New Roman"/>
                <w:color w:val="auto"/>
                <w:kern w:val="0"/>
                <w:sz w:val="18"/>
                <w:szCs w:val="18"/>
                <w:highlight w:val="none"/>
              </w:rPr>
              <w:br w:type="textWrapping"/>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资金投入</w:t>
            </w:r>
          </w:p>
          <w:p>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预算编制</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科学性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①预算编制是否经过科学论证；</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②预算内容与项目内容是否匹配；</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③预算额度测算依据是否充分，是否按照标准编制；</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④预算确定的项目投资额或资金量是否与工作任务相匹配。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资金分配</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①预算资金分配依据是否充分；</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②资金分配额度是否合理，与项目单位或地方实际是否相适应。</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过程</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资金到位率=（实际到位资金/预算资金）×100%。</w:t>
            </w:r>
          </w:p>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实际到位资金：一定时期（本年度或项目期）内落实到具体项目的资金。</w:t>
            </w:r>
          </w:p>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预算资金：一定时期（本年度或项目期）内预算安排到具体项目的资金。</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5"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项目预算资金是否按照计划执行，用以反映或考核项目预算执行情况。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预算执行率=（实际支出资金/实际到位资金）×100%。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实际支出资金：一定时期（本年度或项目期）内项目实际拨付的资金。</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5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资金使用</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合规性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②资金的拨付是否有完整的审批程序和手续；</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③是否符合项目预算批复或合同规定的用途；</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④是否存在截留、挤占、挪用、虚列支出等情况。</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组织实施</w:t>
            </w:r>
          </w:p>
          <w:p>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管理制度</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健全性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①是否已制定或具有相应的财务和业务管理制度；</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②财务和业务管理制度是否合法、合规、完整。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制度执行</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有效性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①是否遵守相关法律法规和相关管理规定；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②项目调整及支出调整手续是否完备；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③项目合同书、验收报告、技术鉴定等资料是否齐全并及时归档；</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④项目实施的人员条件、场地设备、信息支撑等是否落实到位。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2"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产出数量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实际完成率=（实际产出数/计划产出数）×100%。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48"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产出质量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质量达标率=（质量达标产出数/实际产出数）×100%。</w:t>
            </w:r>
          </w:p>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产出时效</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完成及时性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实际完成时间：项目实施单位完成该项目实际所耗用的时间。</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计划完成时间：按照项目实施计划或相关规定完成该项目所需的时间。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1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产出成本</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成本节约率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成本节约率=[（计划成本-实际成本）/计划成本]×100%。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效益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项目效益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实施效益</w:t>
            </w:r>
          </w:p>
        </w:tc>
        <w:tc>
          <w:tcPr>
            <w:tcW w:w="680" w:type="pct"/>
            <w:shd w:val="clear" w:color="auto" w:fill="FFFFFF"/>
            <w:vAlign w:val="center"/>
          </w:tcPr>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项目实施所产生的效益。</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满意度</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社会公众或服务对象对项目实施效果的满意程度。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bl>
    <w:p>
      <w:pPr>
        <w:rPr>
          <w:rFonts w:hint="default" w:ascii="Times New Roman" w:hAnsi="Times New Roman" w:cs="Times New Roman"/>
          <w:color w:val="auto"/>
          <w:highlight w:val="none"/>
        </w:rPr>
        <w:sectPr>
          <w:pgSz w:w="16838" w:h="11906" w:orient="landscape"/>
          <w:pgMar w:top="1800" w:right="1440" w:bottom="1558" w:left="1440" w:header="851" w:footer="992" w:gutter="0"/>
          <w:cols w:space="425" w:num="1"/>
          <w:docGrid w:type="lines" w:linePitch="312" w:charSpace="0"/>
        </w:sectPr>
      </w:pPr>
    </w:p>
    <w:p>
      <w:pPr>
        <w:spacing w:line="600" w:lineRule="exact"/>
        <w:rPr>
          <w:rFonts w:hint="eastAsia"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附件</w:t>
      </w:r>
      <w:r>
        <w:rPr>
          <w:rFonts w:hint="eastAsia" w:eastAsia="黑体" w:cs="Times New Roman"/>
          <w:color w:val="auto"/>
          <w:sz w:val="32"/>
          <w:szCs w:val="32"/>
          <w:highlight w:val="none"/>
          <w:lang w:val="en-US" w:eastAsia="zh-CN"/>
        </w:rPr>
        <w:t>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auto"/>
          <w:kern w:val="0"/>
          <w:sz w:val="28"/>
          <w:szCs w:val="28"/>
          <w:highlight w:val="none"/>
          <w:u w:val="none"/>
          <w:lang w:val="en-US" w:eastAsia="zh-CN" w:bidi="ar"/>
        </w:rPr>
      </w:pPr>
      <w:r>
        <w:rPr>
          <w:rFonts w:hint="eastAsia" w:ascii="仿宋_GB2312" w:hAnsi="仿宋_GB2312" w:eastAsia="仿宋_GB2312" w:cs="仿宋_GB2312"/>
          <w:b/>
          <w:bCs/>
          <w:i w:val="0"/>
          <w:iCs w:val="0"/>
          <w:color w:val="auto"/>
          <w:kern w:val="0"/>
          <w:sz w:val="28"/>
          <w:szCs w:val="28"/>
          <w:highlight w:val="none"/>
          <w:u w:val="none"/>
          <w:lang w:val="en-US" w:eastAsia="zh-CN" w:bidi="ar"/>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auto"/>
          <w:kern w:val="0"/>
          <w:sz w:val="22"/>
          <w:szCs w:val="22"/>
          <w:highlight w:val="none"/>
          <w:u w:val="none"/>
          <w:lang w:val="en-US" w:eastAsia="zh-CN" w:bidi="ar"/>
        </w:rPr>
      </w:pPr>
      <w:r>
        <w:rPr>
          <w:rFonts w:hint="default" w:ascii="Times New Roman" w:hAnsi="Times New Roman" w:eastAsia="仿宋_GB2312" w:cs="Times New Roman"/>
          <w:b/>
          <w:bCs/>
          <w:i w:val="0"/>
          <w:iCs w:val="0"/>
          <w:color w:val="auto"/>
          <w:kern w:val="0"/>
          <w:sz w:val="22"/>
          <w:szCs w:val="22"/>
          <w:highlight w:val="none"/>
          <w:u w:val="none"/>
          <w:lang w:val="en-US" w:eastAsia="zh-CN" w:bidi="ar"/>
        </w:rPr>
        <w:t>（ 2024年度）</w:t>
      </w:r>
    </w:p>
    <w:tbl>
      <w:tblPr>
        <w:tblStyle w:val="1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04"/>
        <w:gridCol w:w="1105"/>
        <w:gridCol w:w="802"/>
        <w:gridCol w:w="2182"/>
        <w:gridCol w:w="1759"/>
        <w:gridCol w:w="802"/>
        <w:gridCol w:w="803"/>
        <w:gridCol w:w="802"/>
        <w:gridCol w:w="802"/>
        <w:gridCol w:w="802"/>
        <w:gridCol w:w="803"/>
        <w:gridCol w:w="802"/>
        <w:gridCol w:w="803"/>
        <w:gridCol w:w="8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项目名称</w:t>
            </w:r>
          </w:p>
        </w:tc>
        <w:tc>
          <w:tcPr>
            <w:tcW w:w="1196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部门专项-社区党建工作经费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主管部门</w:t>
            </w:r>
          </w:p>
        </w:tc>
        <w:tc>
          <w:tcPr>
            <w:tcW w:w="634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库尔勒市康都街道</w:t>
            </w:r>
          </w:p>
        </w:tc>
        <w:tc>
          <w:tcPr>
            <w:tcW w:w="16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实施单位</w:t>
            </w:r>
          </w:p>
        </w:tc>
        <w:tc>
          <w:tcPr>
            <w:tcW w:w="401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库尔勒市康都街道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0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项目资金</w:t>
            </w:r>
            <w:r>
              <w:rPr>
                <w:rFonts w:hint="eastAsia" w:ascii="宋体" w:hAnsi="宋体" w:eastAsia="宋体" w:cs="宋体"/>
                <w:i w:val="0"/>
                <w:color w:val="auto"/>
                <w:kern w:val="0"/>
                <w:sz w:val="18"/>
                <w:szCs w:val="18"/>
                <w:highlight w:val="none"/>
                <w:u w:val="none"/>
                <w:lang w:val="en-US" w:eastAsia="zh-CN" w:bidi="ar"/>
              </w:rPr>
              <w:br w:type="textWrapping"/>
            </w:r>
            <w:r>
              <w:rPr>
                <w:rFonts w:hint="eastAsia" w:ascii="宋体" w:hAnsi="宋体" w:eastAsia="宋体" w:cs="宋体"/>
                <w:i w:val="0"/>
                <w:color w:val="auto"/>
                <w:kern w:val="0"/>
                <w:sz w:val="18"/>
                <w:szCs w:val="18"/>
                <w:highlight w:val="none"/>
                <w:u w:val="none"/>
                <w:lang w:val="en-US" w:eastAsia="zh-CN" w:bidi="ar"/>
              </w:rPr>
              <w:t>（万元）</w:t>
            </w:r>
          </w:p>
        </w:tc>
        <w:tc>
          <w:tcPr>
            <w:tcW w:w="2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资金来源</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年初预算数</w:t>
            </w:r>
          </w:p>
        </w:tc>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全年预算数</w:t>
            </w:r>
          </w:p>
        </w:tc>
        <w:tc>
          <w:tcPr>
            <w:tcW w:w="16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全年执行数</w:t>
            </w:r>
          </w:p>
        </w:tc>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分值权重</w:t>
            </w:r>
          </w:p>
        </w:tc>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执行率</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年度资金总额</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95.00</w:t>
            </w:r>
          </w:p>
        </w:tc>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66.12</w:t>
            </w:r>
          </w:p>
        </w:tc>
        <w:tc>
          <w:tcPr>
            <w:tcW w:w="16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66.12</w:t>
            </w:r>
          </w:p>
        </w:tc>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w:t>
            </w:r>
          </w:p>
        </w:tc>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100.00%</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其中：当年财政拨款</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95</w:t>
            </w:r>
          </w:p>
        </w:tc>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66.12</w:t>
            </w:r>
          </w:p>
        </w:tc>
        <w:tc>
          <w:tcPr>
            <w:tcW w:w="16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66.12</w:t>
            </w:r>
          </w:p>
        </w:tc>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w:t>
            </w:r>
          </w:p>
        </w:tc>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984"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其他资金</w:t>
            </w:r>
          </w:p>
        </w:tc>
        <w:tc>
          <w:tcPr>
            <w:tcW w:w="175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0.00</w:t>
            </w:r>
          </w:p>
        </w:tc>
        <w:tc>
          <w:tcPr>
            <w:tcW w:w="160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0.00</w:t>
            </w:r>
          </w:p>
        </w:tc>
        <w:tc>
          <w:tcPr>
            <w:tcW w:w="1604" w:type="dxa"/>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w:t>
            </w:r>
          </w:p>
        </w:tc>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年度总体目标</w:t>
            </w:r>
          </w:p>
        </w:tc>
        <w:tc>
          <w:tcPr>
            <w:tcW w:w="905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总体目标</w:t>
            </w:r>
          </w:p>
        </w:tc>
        <w:tc>
          <w:tcPr>
            <w:tcW w:w="401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905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目标1：实现社区党委数全覆盖，确保5社区正常运转；目标2：抓好街道各社区基层党组织阵地建设，确保基层党组织各项事业稳定有序开展，保障各项事业规范运行；目标3：提升社区干部为民服务能力、提高服务水平，顺利服务居民，提高幸福指数。</w:t>
            </w:r>
          </w:p>
        </w:tc>
        <w:tc>
          <w:tcPr>
            <w:tcW w:w="401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完成了实现社区党委数全覆盖，确保5社区正常运转；提高社区党组织数量5个，居民满意度达到了95%。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8" w:hRule="atLeast"/>
        </w:trPr>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lang w:val="en-US" w:eastAsia="zh-CN"/>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一级指标</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二级指标</w:t>
            </w:r>
          </w:p>
        </w:tc>
        <w:tc>
          <w:tcPr>
            <w:tcW w:w="21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三级指标</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指标值</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指标值设置依据</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上年完成值</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指标分值权重</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指标赋分规则</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佐证资料</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指标实际完成值</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完成率</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指标得分</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color w:val="auto"/>
                <w:kern w:val="0"/>
                <w:sz w:val="18"/>
                <w:szCs w:val="18"/>
                <w:highlight w:val="none"/>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年度绩效指标完成情况</w:t>
            </w:r>
          </w:p>
        </w:tc>
        <w:tc>
          <w:tcPr>
            <w:tcW w:w="110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产出指标</w:t>
            </w:r>
          </w:p>
        </w:tc>
        <w:tc>
          <w:tcPr>
            <w:tcW w:w="80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数量指标</w:t>
            </w:r>
          </w:p>
        </w:tc>
        <w:tc>
          <w:tcPr>
            <w:tcW w:w="21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保障社区数量</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&gt;=5个</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计划标准</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按照正常比例赋分</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工作资料</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=5个</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100%</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10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质量指标</w:t>
            </w:r>
          </w:p>
        </w:tc>
        <w:tc>
          <w:tcPr>
            <w:tcW w:w="21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资金使用合规率</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=100%</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计划标准</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按照正常比例赋分</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工作资料</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100%</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10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80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时效指标</w:t>
            </w:r>
          </w:p>
        </w:tc>
        <w:tc>
          <w:tcPr>
            <w:tcW w:w="21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资金支付及时率</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=100%</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计划标准</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按照正常比例赋分</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工作资料</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100%</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1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auto"/>
                <w:sz w:val="18"/>
                <w:szCs w:val="18"/>
                <w:highlight w:val="none"/>
                <w:u w:val="none"/>
                <w:lang w:val="en-US" w:eastAsia="zh-CN"/>
              </w:rPr>
            </w:pPr>
          </w:p>
        </w:tc>
        <w:tc>
          <w:tcPr>
            <w:tcW w:w="80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时效指标</w:t>
            </w:r>
          </w:p>
        </w:tc>
        <w:tc>
          <w:tcPr>
            <w:tcW w:w="21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资金支付完成时间</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2024年12月20日</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计划标准</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80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直接赋分</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工作资料</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=2024年12月13日</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100%</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1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成本指标</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经济成本指标</w:t>
            </w:r>
          </w:p>
        </w:tc>
        <w:tc>
          <w:tcPr>
            <w:tcW w:w="21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各社区平均运转经费成本</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&lt;=13.22万元/社区</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计划标准</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20</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按照正常比例赋分</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原始凭证</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&lt;=13.22万元/社区</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100%</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20</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6"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1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社会成本指标</w:t>
            </w:r>
          </w:p>
        </w:tc>
        <w:tc>
          <w:tcPr>
            <w:tcW w:w="218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1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生态环境成本指标</w:t>
            </w:r>
          </w:p>
        </w:tc>
        <w:tc>
          <w:tcPr>
            <w:tcW w:w="218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1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效益指标</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经济效益指标</w:t>
            </w:r>
          </w:p>
        </w:tc>
        <w:tc>
          <w:tcPr>
            <w:tcW w:w="218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105"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color w:val="auto"/>
                <w:highlight w:val="none"/>
              </w:rPr>
            </w:pPr>
          </w:p>
        </w:tc>
        <w:tc>
          <w:tcPr>
            <w:tcW w:w="802"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color w:val="auto"/>
                <w:kern w:val="0"/>
                <w:sz w:val="20"/>
                <w:szCs w:val="20"/>
                <w:highlight w:val="none"/>
                <w:u w:val="none"/>
                <w:lang w:val="en-US" w:eastAsia="zh-CN" w:bidi="ar"/>
              </w:rPr>
              <w:t>社会效益指标</w:t>
            </w:r>
          </w:p>
        </w:tc>
        <w:tc>
          <w:tcPr>
            <w:tcW w:w="21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提高社区党组织数量</w:t>
            </w:r>
          </w:p>
        </w:tc>
        <w:tc>
          <w:tcPr>
            <w:tcW w:w="17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
                <w:bCs/>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&gt;=5个</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计划标准</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20</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按照正常比例赋分</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工作资料</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=5个</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100%</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20</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highlight w:val="none"/>
              </w:rPr>
            </w:pPr>
          </w:p>
        </w:tc>
      </w:tr>
    </w:tbl>
    <w:p>
      <w:pPr>
        <w:rPr>
          <w:rFonts w:hint="default" w:ascii="Times New Roman" w:hAnsi="Times New Roman" w:cs="Times New Roman"/>
          <w:color w:val="auto"/>
          <w:highlight w:val="none"/>
        </w:rPr>
      </w:pPr>
    </w:p>
    <w:sectPr>
      <w:pgSz w:w="16838" w:h="11906" w:orient="landscape"/>
      <w:pgMar w:top="1800" w:right="1440" w:bottom="1558" w:left="144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Qin" w:date="2025-01-17T12:47:54Z" w:initials="">
    <w:p w14:paraId="0F6E287B">
      <w:pPr>
        <w:pStyle w:val="3"/>
      </w:pPr>
      <w:r>
        <w:rPr>
          <w:rFonts w:hint="default" w:ascii="Times New Roman" w:hAnsi="Times New Roman" w:eastAsia="仿宋_GB2312" w:cs="Times New Roman"/>
          <w:color w:val="FF0000"/>
          <w:spacing w:val="17"/>
          <w:sz w:val="32"/>
          <w:szCs w:val="32"/>
          <w:lang w:val="en-US" w:eastAsia="zh-CN"/>
        </w:rPr>
        <w:t>根据（财预〔2020〕10号）要求，产出、效益合计不得低于60分</w:t>
      </w:r>
    </w:p>
    <w:p w14:paraId="43E54DDE">
      <w:pPr>
        <w:pStyle w:val="3"/>
      </w:pPr>
    </w:p>
  </w:comment>
  <w:comment w:id="1" w:author="  " w:date="2023-03-15T13:47:45Z" w:initials="">
    <w:p w14:paraId="38896C41">
      <w:pPr>
        <w:pStyle w:val="3"/>
      </w:pPr>
      <w:r>
        <w:rPr>
          <w:rFonts w:hint="eastAsia"/>
          <w:b/>
          <w:bCs/>
          <w:color w:val="FF0000"/>
          <w:lang w:eastAsia="zh-Hans"/>
        </w:rPr>
        <w:t>得分率</w:t>
      </w:r>
      <w:r>
        <w:rPr>
          <w:b/>
          <w:bCs/>
          <w:color w:val="FF0000"/>
          <w:lang w:eastAsia="zh-Hans"/>
        </w:rPr>
        <w:t>=</w:t>
      </w:r>
      <w:r>
        <w:rPr>
          <w:rFonts w:hint="eastAsia"/>
          <w:b/>
          <w:bCs/>
          <w:color w:val="FF0000"/>
          <w:lang w:eastAsia="zh-Hans"/>
        </w:rPr>
        <w:t>（得分</w:t>
      </w:r>
      <w:r>
        <w:rPr>
          <w:b/>
          <w:bCs/>
          <w:color w:val="FF0000"/>
          <w:lang w:eastAsia="zh-Hans"/>
        </w:rPr>
        <w:t>/</w:t>
      </w:r>
      <w:r>
        <w:rPr>
          <w:rFonts w:hint="eastAsia"/>
          <w:b/>
          <w:bCs/>
          <w:color w:val="FF0000"/>
          <w:lang w:eastAsia="zh-Hans"/>
        </w:rPr>
        <w:t>权重）</w:t>
      </w:r>
      <w:r>
        <w:rPr>
          <w:b/>
          <w:bCs/>
          <w:color w:val="FF0000"/>
          <w:lang w:eastAsia="zh-Hans"/>
        </w:rPr>
        <w:t xml:space="preserve">*100% </w:t>
      </w:r>
      <w:r>
        <w:rPr>
          <w:rFonts w:hint="eastAsia"/>
          <w:b/>
          <w:bCs/>
          <w:color w:val="FF0000"/>
          <w:lang w:eastAsia="zh-Hans"/>
        </w:rPr>
        <w:t>（与表</w:t>
      </w:r>
      <w:r>
        <w:rPr>
          <w:b/>
          <w:bCs/>
          <w:color w:val="FF0000"/>
          <w:lang w:eastAsia="zh-Hans"/>
        </w:rPr>
        <w:t xml:space="preserve">1 </w:t>
      </w:r>
      <w:r>
        <w:rPr>
          <w:rFonts w:hint="eastAsia"/>
          <w:b/>
          <w:bCs/>
          <w:color w:val="FF0000"/>
          <w:lang w:eastAsia="zh-Hans"/>
        </w:rPr>
        <w:t>综合评分表及附件</w:t>
      </w:r>
      <w:r>
        <w:rPr>
          <w:b/>
          <w:bCs/>
          <w:color w:val="FF0000"/>
          <w:lang w:eastAsia="zh-Hans"/>
        </w:rPr>
        <w:t>1</w:t>
      </w:r>
      <w:r>
        <w:rPr>
          <w:rFonts w:hint="eastAsia"/>
          <w:b/>
          <w:bCs/>
          <w:color w:val="FF0000"/>
          <w:lang w:eastAsia="zh-Hans"/>
        </w:rPr>
        <w:t>中的数据保持一致）</w:t>
      </w:r>
    </w:p>
  </w:comment>
  <w:comment w:id="2" w:author="审核人" w:date="2023-03-08T11:48:00Z" w:initials="">
    <w:p w14:paraId="431B158D">
      <w:pPr>
        <w:pStyle w:val="3"/>
        <w:rPr>
          <w:b/>
          <w:bCs/>
          <w:color w:val="FF0000"/>
          <w:lang w:eastAsia="zh-Hans"/>
        </w:rPr>
      </w:pPr>
      <w:r>
        <w:rPr>
          <w:rFonts w:hint="eastAsia"/>
          <w:b/>
          <w:bCs/>
          <w:color w:val="FF0000"/>
          <w:lang w:eastAsia="zh-Hans"/>
        </w:rPr>
        <w:t>注意要点：</w:t>
      </w:r>
    </w:p>
    <w:p w14:paraId="0DF10E13">
      <w:pPr>
        <w:pStyle w:val="3"/>
        <w:numPr>
          <w:ilvl w:val="0"/>
          <w:numId w:val="1"/>
        </w:numPr>
        <w:rPr>
          <w:b/>
          <w:bCs/>
          <w:color w:val="FF0000"/>
          <w:lang w:eastAsia="zh-Hans"/>
        </w:rPr>
      </w:pPr>
      <w:r>
        <w:rPr>
          <w:rFonts w:hint="eastAsia"/>
          <w:b/>
          <w:bCs/>
          <w:color w:val="FF0000"/>
          <w:lang w:eastAsia="zh-Hans"/>
        </w:rPr>
        <w:t>此部分结合此项目自评表中的各项指标进行文字化描述。</w:t>
      </w:r>
    </w:p>
    <w:p w14:paraId="114718F4">
      <w:pPr>
        <w:pStyle w:val="3"/>
        <w:numPr>
          <w:ilvl w:val="0"/>
          <w:numId w:val="1"/>
        </w:numPr>
        <w:rPr>
          <w:b/>
          <w:bCs/>
          <w:color w:val="FF0000"/>
          <w:lang w:eastAsia="zh-Hans"/>
        </w:rPr>
      </w:pPr>
      <w:r>
        <w:rPr>
          <w:rFonts w:hint="eastAsia"/>
          <w:b/>
          <w:bCs/>
          <w:color w:val="FF0000"/>
          <w:lang w:eastAsia="zh-Hans"/>
        </w:rPr>
        <w:t>指标未完成或者超额完成20%,（含</w:t>
      </w:r>
      <w:r>
        <w:rPr>
          <w:b/>
          <w:bCs/>
          <w:color w:val="FF0000"/>
          <w:lang w:eastAsia="zh-Hans"/>
        </w:rPr>
        <w:t>20%</w:t>
      </w:r>
      <w:r>
        <w:rPr>
          <w:rFonts w:hint="eastAsia"/>
          <w:b/>
          <w:bCs/>
          <w:color w:val="FF0000"/>
          <w:lang w:eastAsia="zh-Hans"/>
        </w:rPr>
        <w:t>）需要在相应指标后写偏差原因。</w:t>
      </w:r>
    </w:p>
  </w:comment>
  <w:comment w:id="3" w:author="审核人" w:date="2023-03-08T12:09:00Z" w:initials="">
    <w:p w14:paraId="7C0370AF">
      <w:pPr>
        <w:pStyle w:val="3"/>
      </w:pPr>
      <w:r>
        <w:rPr>
          <w:rFonts w:hint="eastAsia"/>
          <w:b/>
          <w:bCs/>
          <w:color w:val="FF0000"/>
          <w:lang w:eastAsia="zh-Hans"/>
        </w:rPr>
        <w:t>项目绩效指标总体完成率</w:t>
      </w:r>
      <w:r>
        <w:rPr>
          <w:b/>
          <w:bCs/>
          <w:color w:val="FF0000"/>
          <w:lang w:eastAsia="zh-Hans"/>
        </w:rPr>
        <w:t>=</w:t>
      </w:r>
      <w:r>
        <w:rPr>
          <w:rFonts w:hint="eastAsia"/>
          <w:b/>
          <w:bCs/>
          <w:color w:val="FF0000"/>
          <w:lang w:eastAsia="zh-Hans"/>
        </w:rPr>
        <w:t>（自评表中：指标的完成率之和</w:t>
      </w:r>
      <w:r>
        <w:rPr>
          <w:rFonts w:hint="eastAsia"/>
          <w:b/>
          <w:bCs/>
          <w:color w:val="FF0000"/>
          <w:lang w:val="en-US" w:eastAsia="zh-CN"/>
        </w:rPr>
        <w:t xml:space="preserve"> </w:t>
      </w:r>
      <w:r>
        <w:rPr>
          <w:b/>
          <w:bCs/>
          <w:color w:val="FF0000"/>
          <w:lang w:eastAsia="zh-Hans"/>
        </w:rPr>
        <w:t>/</w:t>
      </w:r>
      <w:r>
        <w:rPr>
          <w:rFonts w:hint="eastAsia"/>
          <w:b/>
          <w:bCs/>
          <w:color w:val="FF0000"/>
          <w:lang w:val="en-US" w:eastAsia="zh-CN"/>
        </w:rPr>
        <w:t xml:space="preserve"> </w:t>
      </w:r>
      <w:r>
        <w:rPr>
          <w:rFonts w:hint="eastAsia"/>
          <w:b/>
          <w:bCs/>
          <w:color w:val="FF0000"/>
          <w:lang w:eastAsia="zh-Hans"/>
        </w:rPr>
        <w:t>指标数量）</w:t>
      </w:r>
      <w:r>
        <w:rPr>
          <w:b/>
          <w:bCs/>
          <w:color w:val="FF0000"/>
          <w:lang w:eastAsia="zh-Hans"/>
        </w:rPr>
        <w:t>*100%</w:t>
      </w:r>
    </w:p>
  </w:comment>
  <w:comment w:id="4" w:author="审核人" w:date="2023-03-08T12:09:00Z" w:initials="">
    <w:p w14:paraId="2FC6154E">
      <w:pPr>
        <w:pStyle w:val="3"/>
        <w:rPr>
          <w:b/>
          <w:bCs/>
          <w:color w:val="FF0000"/>
          <w:lang w:eastAsia="zh-Hans"/>
        </w:rPr>
      </w:pPr>
      <w:r>
        <w:rPr>
          <w:rFonts w:hint="eastAsia"/>
          <w:b/>
          <w:bCs/>
          <w:color w:val="FF0000"/>
          <w:lang w:eastAsia="zh-Hans"/>
        </w:rPr>
        <w:t>总体偏差率</w:t>
      </w:r>
      <w:r>
        <w:rPr>
          <w:b/>
          <w:bCs/>
          <w:color w:val="FF0000"/>
          <w:lang w:eastAsia="zh-Hans"/>
        </w:rPr>
        <w:t>=|</w:t>
      </w:r>
      <w:r>
        <w:rPr>
          <w:rFonts w:hint="eastAsia"/>
          <w:b/>
          <w:bCs/>
          <w:color w:val="FF0000"/>
          <w:lang w:eastAsia="zh-Hans"/>
        </w:rPr>
        <w:t>预算执行率</w:t>
      </w:r>
      <w:r>
        <w:rPr>
          <w:b/>
          <w:bCs/>
          <w:color w:val="FF0000"/>
          <w:lang w:eastAsia="zh-Hans"/>
        </w:rPr>
        <w:t>-</w:t>
      </w:r>
      <w:r>
        <w:rPr>
          <w:rFonts w:hint="eastAsia"/>
          <w:b/>
          <w:bCs/>
          <w:color w:val="FF0000"/>
          <w:lang w:eastAsia="zh-Hans"/>
        </w:rPr>
        <w:t>项目绩效指标总体完成率</w:t>
      </w:r>
      <w:r>
        <w:rPr>
          <w:b/>
          <w:bCs/>
          <w:color w:val="FF0000"/>
          <w:lang w:eastAsia="zh-Hans"/>
        </w:rPr>
        <w:t>|</w:t>
      </w:r>
      <w:r>
        <w:rPr>
          <w:rFonts w:hint="eastAsia"/>
          <w:b/>
          <w:bCs/>
          <w:color w:val="FF0000"/>
          <w:lang w:eastAsia="zh-Hans"/>
        </w:rPr>
        <w:t>（结合单位项目实际情况，总体偏差率尽量控制在</w:t>
      </w:r>
      <w:r>
        <w:rPr>
          <w:b/>
          <w:bCs/>
          <w:color w:val="FF0000"/>
          <w:lang w:eastAsia="zh-Hans"/>
        </w:rPr>
        <w:t>20%</w:t>
      </w:r>
      <w:r>
        <w:rPr>
          <w:rFonts w:hint="eastAsia"/>
          <w:b/>
          <w:bCs/>
          <w:color w:val="FF0000"/>
          <w:lang w:eastAsia="zh-Hans"/>
        </w:rPr>
        <w:t>以内）</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3E54DDE" w15:done="0"/>
  <w15:commentEx w15:paraId="38896C41" w15:done="0"/>
  <w15:commentEx w15:paraId="114718F4" w15:done="0"/>
  <w15:commentEx w15:paraId="7C0370AF" w15:done="0"/>
  <w15:commentEx w15:paraId="2FC6154E"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6ECACC1"/>
    <w:multiLevelType w:val="singleLevel"/>
    <w:tmpl w:val="D6ECACC1"/>
    <w:lvl w:ilvl="0" w:tentative="0">
      <w:start w:val="1"/>
      <w:numFmt w:val="decimal"/>
      <w:lvlText w:val="%1."/>
      <w:lvlJc w:val="left"/>
      <w:pPr>
        <w:tabs>
          <w:tab w:val="left" w:pos="312"/>
        </w:tabs>
      </w:pPr>
    </w:lvl>
  </w:abstractNum>
  <w:abstractNum w:abstractNumId="1">
    <w:nsid w:val="F4CD2B0F"/>
    <w:multiLevelType w:val="singleLevel"/>
    <w:tmpl w:val="F4CD2B0F"/>
    <w:lvl w:ilvl="0" w:tentative="0">
      <w:start w:val="1"/>
      <w:numFmt w:val="decimal"/>
      <w:suff w:val="nothing"/>
      <w:lvlText w:val="（%1）"/>
      <w:lvlJc w:val="left"/>
    </w:lvl>
  </w:abstractNum>
  <w:abstractNum w:abstractNumId="2">
    <w:nsid w:val="FDFF5F47"/>
    <w:multiLevelType w:val="singleLevel"/>
    <w:tmpl w:val="FDFF5F47"/>
    <w:lvl w:ilvl="0" w:tentative="0">
      <w:start w:val="1"/>
      <w:numFmt w:val="decimal"/>
      <w:lvlText w:val="%1."/>
      <w:lvlJc w:val="left"/>
      <w:pPr>
        <w:tabs>
          <w:tab w:val="left" w:pos="312"/>
        </w:tabs>
      </w:pPr>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abstractNum w:abstractNumId="5">
    <w:nsid w:val="27813159"/>
    <w:multiLevelType w:val="singleLevel"/>
    <w:tmpl w:val="27813159"/>
    <w:lvl w:ilvl="0" w:tentative="0">
      <w:start w:val="3"/>
      <w:numFmt w:val="chineseCounting"/>
      <w:suff w:val="nothing"/>
      <w:lvlText w:val="（%1）"/>
      <w:lvlJc w:val="left"/>
      <w:rPr>
        <w:rFonts w:hint="eastAsia"/>
      </w:rPr>
    </w:lvl>
  </w:abstractNum>
  <w:abstractNum w:abstractNumId="6">
    <w:nsid w:val="6FAA0AB1"/>
    <w:multiLevelType w:val="singleLevel"/>
    <w:tmpl w:val="6FAA0AB1"/>
    <w:lvl w:ilvl="0" w:tentative="0">
      <w:start w:val="2"/>
      <w:numFmt w:val="chineseCounting"/>
      <w:suff w:val="nothing"/>
      <w:lvlText w:val="（%1）"/>
      <w:lvlJc w:val="left"/>
      <w:rPr>
        <w:rFonts w:hint="eastAsia"/>
      </w:rPr>
    </w:lvl>
  </w:abstractNum>
  <w:num w:numId="1">
    <w:abstractNumId w:val="2"/>
  </w:num>
  <w:num w:numId="2">
    <w:abstractNumId w:val="1"/>
  </w:num>
  <w:num w:numId="3">
    <w:abstractNumId w:val="5"/>
  </w:num>
  <w:num w:numId="4">
    <w:abstractNumId w:val="4"/>
  </w:num>
  <w:num w:numId="5">
    <w:abstractNumId w:val="6"/>
  </w:num>
  <w:num w:numId="6">
    <w:abstractNumId w:val="0"/>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Qin">
    <w15:presenceInfo w15:providerId="WPS Office" w15:userId="2084181251"/>
  </w15:person>
  <w15:person w15:author="  ">
    <w15:presenceInfo w15:providerId="WPS Office" w15:userId="3901400763"/>
  </w15:person>
  <w15:person w15:author="审核人">
    <w15:presenceInfo w15:providerId="None" w15:userId="审核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xODIyOGEwNTk0N2E4NDk3OTFhNWQ2M2Q2ZjFjNmMifQ=="/>
  </w:docVars>
  <w:rsids>
    <w:rsidRoot w:val="FF6C4049"/>
    <w:rsid w:val="006F7242"/>
    <w:rsid w:val="007B168A"/>
    <w:rsid w:val="008B2CFE"/>
    <w:rsid w:val="00F26FF6"/>
    <w:rsid w:val="01610122"/>
    <w:rsid w:val="02510197"/>
    <w:rsid w:val="03EC461B"/>
    <w:rsid w:val="0461077D"/>
    <w:rsid w:val="04D94E8A"/>
    <w:rsid w:val="07397B77"/>
    <w:rsid w:val="0AD007F3"/>
    <w:rsid w:val="0AFA33B1"/>
    <w:rsid w:val="0CBE4E99"/>
    <w:rsid w:val="0E3C619F"/>
    <w:rsid w:val="100F38EC"/>
    <w:rsid w:val="11170296"/>
    <w:rsid w:val="12C66037"/>
    <w:rsid w:val="12CD1ABC"/>
    <w:rsid w:val="13471461"/>
    <w:rsid w:val="13B90F01"/>
    <w:rsid w:val="155E4C4D"/>
    <w:rsid w:val="181066D2"/>
    <w:rsid w:val="1C671E73"/>
    <w:rsid w:val="1D322C47"/>
    <w:rsid w:val="1D61249D"/>
    <w:rsid w:val="1F8115E6"/>
    <w:rsid w:val="23616034"/>
    <w:rsid w:val="23696C97"/>
    <w:rsid w:val="24480FA2"/>
    <w:rsid w:val="25227A45"/>
    <w:rsid w:val="26AC3A6A"/>
    <w:rsid w:val="2B9D7E25"/>
    <w:rsid w:val="2C7C7A3B"/>
    <w:rsid w:val="2F364819"/>
    <w:rsid w:val="2FD63906"/>
    <w:rsid w:val="326F2E4C"/>
    <w:rsid w:val="37215DAE"/>
    <w:rsid w:val="38CA40DD"/>
    <w:rsid w:val="395F2B56"/>
    <w:rsid w:val="3B3D2973"/>
    <w:rsid w:val="3BBA0580"/>
    <w:rsid w:val="3BECE841"/>
    <w:rsid w:val="3CDE204C"/>
    <w:rsid w:val="3D363C36"/>
    <w:rsid w:val="3E9C3F6D"/>
    <w:rsid w:val="3FF7797D"/>
    <w:rsid w:val="46690BD8"/>
    <w:rsid w:val="494F01E5"/>
    <w:rsid w:val="49F70BF1"/>
    <w:rsid w:val="4B4340EE"/>
    <w:rsid w:val="503D507A"/>
    <w:rsid w:val="51FA74D0"/>
    <w:rsid w:val="52AA4A52"/>
    <w:rsid w:val="54705E36"/>
    <w:rsid w:val="56C74439"/>
    <w:rsid w:val="59943D66"/>
    <w:rsid w:val="59E051FD"/>
    <w:rsid w:val="59E6355E"/>
    <w:rsid w:val="5B821531"/>
    <w:rsid w:val="5BFF6039"/>
    <w:rsid w:val="5D76A616"/>
    <w:rsid w:val="5D7F20B9"/>
    <w:rsid w:val="5DAC7D0E"/>
    <w:rsid w:val="5F98B5AF"/>
    <w:rsid w:val="5FFE8511"/>
    <w:rsid w:val="5FFEACE2"/>
    <w:rsid w:val="609D5BF6"/>
    <w:rsid w:val="61073070"/>
    <w:rsid w:val="61B9080E"/>
    <w:rsid w:val="61DF3FED"/>
    <w:rsid w:val="642B176B"/>
    <w:rsid w:val="643EE26D"/>
    <w:rsid w:val="650217F4"/>
    <w:rsid w:val="656019A0"/>
    <w:rsid w:val="65F242EE"/>
    <w:rsid w:val="666D7E19"/>
    <w:rsid w:val="68376930"/>
    <w:rsid w:val="68F91E38"/>
    <w:rsid w:val="6B3158B9"/>
    <w:rsid w:val="6BA02A3F"/>
    <w:rsid w:val="6C1E5A53"/>
    <w:rsid w:val="6F5C41AC"/>
    <w:rsid w:val="6FAF6C78"/>
    <w:rsid w:val="716167CC"/>
    <w:rsid w:val="718A7AD1"/>
    <w:rsid w:val="72A44BC2"/>
    <w:rsid w:val="7317C656"/>
    <w:rsid w:val="734ED73F"/>
    <w:rsid w:val="73C82B32"/>
    <w:rsid w:val="73F94DAE"/>
    <w:rsid w:val="74220495"/>
    <w:rsid w:val="747D1B6F"/>
    <w:rsid w:val="749E5641"/>
    <w:rsid w:val="76271066"/>
    <w:rsid w:val="77FD8BE9"/>
    <w:rsid w:val="78000AED"/>
    <w:rsid w:val="795176BA"/>
    <w:rsid w:val="79A9BD3F"/>
    <w:rsid w:val="7B2D666E"/>
    <w:rsid w:val="7B776F12"/>
    <w:rsid w:val="7BFFFDD0"/>
    <w:rsid w:val="7C2C2FC0"/>
    <w:rsid w:val="7C336E5F"/>
    <w:rsid w:val="7C8D4919"/>
    <w:rsid w:val="7D7A5F86"/>
    <w:rsid w:val="7E4B683A"/>
    <w:rsid w:val="7E5E656D"/>
    <w:rsid w:val="7E8F2BCB"/>
    <w:rsid w:val="7F37BB4E"/>
    <w:rsid w:val="7FE010F0"/>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28</Pages>
  <Words>12914</Words>
  <Characters>13364</Characters>
  <Lines>58</Lines>
  <Paragraphs>16</Paragraphs>
  <TotalTime>15</TotalTime>
  <ScaleCrop>false</ScaleCrop>
  <LinksUpToDate>false</LinksUpToDate>
  <CharactersWithSpaces>13396</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cp:lastPrinted>2025-04-29T04:33:00Z</cp:lastPrinted>
  <dcterms:modified xsi:type="dcterms:W3CDTF">2025-08-14T09:22:53Z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F1A32EB7C53F433780EB4BD1AD3DECDF_13</vt:lpwstr>
  </property>
  <property fmtid="{D5CDD505-2E9C-101B-9397-08002B2CF9AE}" pid="4" name="KSOTemplateDocerSaveRecord">
    <vt:lpwstr>eyJoZGlkIjoiYTRkOTIwZjc5YmU2ZTY5MjQ2MTljMmZlZWEzNGY0OTAiLCJ1c2VySWQiOiI0MzUzMjU0MzcifQ==</vt:lpwstr>
  </property>
</Properties>
</file>